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65" w:rsidRPr="009971DB" w:rsidRDefault="00192F65" w:rsidP="00192F65">
      <w:pPr>
        <w:jc w:val="center"/>
        <w:rPr>
          <w:rStyle w:val="a3"/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Style w:val="a3"/>
          <w:rFonts w:ascii="Times New Roman" w:hAnsi="Times New Roman" w:cs="Times New Roman"/>
          <w:i/>
          <w:iCs/>
          <w:sz w:val="24"/>
          <w:szCs w:val="24"/>
          <w:lang w:val="ru-RU"/>
        </w:rPr>
        <w:softHyphen/>
      </w:r>
    </w:p>
    <w:p w:rsidR="00192F65" w:rsidRPr="00A5696B" w:rsidRDefault="00192F65" w:rsidP="00192F65">
      <w:pPr>
        <w:jc w:val="center"/>
        <w:rPr>
          <w:rStyle w:val="a3"/>
          <w:rFonts w:ascii="Times New Roman" w:hAnsi="Times New Roman" w:cs="Times New Roman"/>
          <w:i/>
          <w:iCs/>
          <w:sz w:val="24"/>
          <w:szCs w:val="24"/>
        </w:rPr>
      </w:pPr>
      <w:r w:rsidRPr="00A5696B">
        <w:rPr>
          <w:rStyle w:val="a3"/>
          <w:rFonts w:ascii="Times New Roman" w:hAnsi="Times New Roman" w:cs="Times New Roman"/>
          <w:i/>
          <w:iCs/>
          <w:sz w:val="24"/>
          <w:szCs w:val="24"/>
        </w:rPr>
        <w:t xml:space="preserve">Комунальне некомерційне підприємство </w:t>
      </w:r>
      <w:r w:rsidRPr="00A5696B">
        <w:rPr>
          <w:rStyle w:val="a3"/>
          <w:rFonts w:ascii="Times New Roman" w:hAnsi="Times New Roman" w:cs="Times New Roman"/>
          <w:i/>
          <w:iCs/>
          <w:sz w:val="24"/>
          <w:szCs w:val="24"/>
        </w:rPr>
        <w:br/>
        <w:t xml:space="preserve"> «МІСЬКА ПОЛІКЛІНІКА №20» </w:t>
      </w:r>
      <w:r w:rsidRPr="00A5696B">
        <w:rPr>
          <w:rStyle w:val="a3"/>
          <w:rFonts w:ascii="Times New Roman" w:hAnsi="Times New Roman" w:cs="Times New Roman"/>
          <w:i/>
          <w:iCs/>
          <w:sz w:val="24"/>
          <w:szCs w:val="24"/>
        </w:rPr>
        <w:br/>
        <w:t xml:space="preserve"> Харківської міської ради</w:t>
      </w:r>
    </w:p>
    <w:p w:rsidR="00192F65" w:rsidRPr="00A5696B" w:rsidRDefault="00192F65" w:rsidP="00192F65">
      <w:pPr>
        <w:jc w:val="center"/>
        <w:rPr>
          <w:rStyle w:val="a3"/>
          <w:rFonts w:ascii="Times New Roman" w:hAnsi="Times New Roman" w:cs="Times New Roman"/>
          <w:b w:val="0"/>
          <w:i/>
          <w:iCs/>
          <w:sz w:val="24"/>
          <w:szCs w:val="24"/>
        </w:rPr>
      </w:pPr>
      <w:r w:rsidRPr="00A5696B">
        <w:rPr>
          <w:rStyle w:val="a3"/>
          <w:rFonts w:ascii="Times New Roman" w:hAnsi="Times New Roman" w:cs="Times New Roman"/>
          <w:i/>
          <w:iCs/>
          <w:sz w:val="24"/>
          <w:szCs w:val="24"/>
        </w:rPr>
        <w:t xml:space="preserve">Інформація про 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Pr="00A5696B">
        <w:rPr>
          <w:rFonts w:ascii="Times New Roman" w:hAnsi="Times New Roman" w:cs="Times New Roman"/>
          <w:b/>
          <w:i/>
          <w:sz w:val="24"/>
          <w:szCs w:val="24"/>
        </w:rPr>
        <w:t xml:space="preserve">за результатами процедури закупівлі - відкриті торги,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 w:rsidRPr="00A5696B">
        <w:rPr>
          <w:rFonts w:ascii="Times New Roman" w:hAnsi="Times New Roman" w:cs="Times New Roman"/>
          <w:b/>
          <w:i/>
          <w:sz w:val="24"/>
          <w:szCs w:val="24"/>
        </w:rPr>
        <w:t xml:space="preserve">початок проведення процедури </w:t>
      </w:r>
      <w:r w:rsidRPr="00192F65">
        <w:rPr>
          <w:rFonts w:ascii="Times New Roman" w:hAnsi="Times New Roman" w:cs="Times New Roman"/>
          <w:b/>
          <w:i/>
          <w:sz w:val="24"/>
          <w:szCs w:val="24"/>
        </w:rPr>
        <w:t>15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січня</w:t>
      </w:r>
      <w:r w:rsidRPr="00A5696B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A5696B">
        <w:rPr>
          <w:rFonts w:ascii="Times New Roman" w:hAnsi="Times New Roman" w:cs="Times New Roman"/>
          <w:b/>
          <w:i/>
          <w:sz w:val="24"/>
          <w:szCs w:val="24"/>
        </w:rPr>
        <w:t xml:space="preserve"> року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З метою прозорого, ефективного та раціонального використання коштів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 на вимогу постанови КМУ від 16.12.2020 р. №1266: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96B">
        <w:rPr>
          <w:rFonts w:ascii="Times New Roman" w:hAnsi="Times New Roman" w:cs="Times New Roman"/>
          <w:b/>
          <w:sz w:val="24"/>
          <w:szCs w:val="24"/>
        </w:rPr>
        <w:t>1. Предмет закупівлі</w:t>
      </w:r>
      <w:r w:rsidRPr="00A5696B">
        <w:rPr>
          <w:rFonts w:ascii="Times New Roman" w:hAnsi="Times New Roman" w:cs="Times New Roman"/>
          <w:sz w:val="24"/>
          <w:szCs w:val="24"/>
        </w:rPr>
        <w:t xml:space="preserve"> -  Спеціальні продукти харчування, збагачені поживними речовинами (для дорослих хворих на </w:t>
      </w:r>
      <w:proofErr w:type="spellStart"/>
      <w:r w:rsidRPr="00A5696B">
        <w:rPr>
          <w:rFonts w:ascii="Times New Roman" w:hAnsi="Times New Roman" w:cs="Times New Roman"/>
          <w:sz w:val="24"/>
          <w:szCs w:val="24"/>
        </w:rPr>
        <w:t>фенілкетонурію</w:t>
      </w:r>
      <w:proofErr w:type="spellEnd"/>
      <w:r w:rsidRPr="00A5696B">
        <w:rPr>
          <w:rFonts w:ascii="Times New Roman" w:hAnsi="Times New Roman" w:cs="Times New Roman"/>
          <w:sz w:val="24"/>
          <w:szCs w:val="24"/>
        </w:rPr>
        <w:t>) код  ДК 021:2015 - 15880000-0 — Спеціальні продукти харчування, збагачені поживними речовинами.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96B">
        <w:rPr>
          <w:rFonts w:ascii="Times New Roman" w:hAnsi="Times New Roman" w:cs="Times New Roman"/>
          <w:b/>
          <w:sz w:val="24"/>
          <w:szCs w:val="24"/>
        </w:rPr>
        <w:t xml:space="preserve">2. Технічні та якісні характеристики предмета закупівлі: </w:t>
      </w:r>
      <w:r w:rsidRPr="00A56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закупівлі. </w:t>
      </w:r>
    </w:p>
    <w:tbl>
      <w:tblPr>
        <w:tblW w:w="10211" w:type="dxa"/>
        <w:tblInd w:w="98" w:type="dxa"/>
        <w:tblLook w:val="0000" w:firstRow="0" w:lastRow="0" w:firstColumn="0" w:lastColumn="0" w:noHBand="0" w:noVBand="0"/>
      </w:tblPr>
      <w:tblGrid>
        <w:gridCol w:w="930"/>
        <w:gridCol w:w="5424"/>
        <w:gridCol w:w="1267"/>
        <w:gridCol w:w="2590"/>
      </w:tblGrid>
      <w:tr w:rsidR="00192F65" w:rsidRPr="00A5696B" w:rsidTr="00CE0272">
        <w:trPr>
          <w:trHeight w:val="36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F65" w:rsidRPr="00A5696B" w:rsidRDefault="00192F65" w:rsidP="00CE0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proofErr w:type="spellStart"/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F65" w:rsidRPr="00A5696B" w:rsidRDefault="00192F65" w:rsidP="00CE0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Найменування товару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F65" w:rsidRPr="00A5696B" w:rsidRDefault="00192F65" w:rsidP="00CE0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Одиниці виміру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F65" w:rsidRPr="00A5696B" w:rsidRDefault="00192F65" w:rsidP="00CE0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192F65" w:rsidRPr="00A5696B" w:rsidRDefault="00192F65" w:rsidP="00CE0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Грам білку/або банок</w:t>
            </w:r>
          </w:p>
        </w:tc>
      </w:tr>
      <w:tr w:rsidR="00192F65" w:rsidRPr="00A5696B" w:rsidTr="00CE0272">
        <w:trPr>
          <w:trHeight w:val="36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F65" w:rsidRPr="00A5696B" w:rsidRDefault="00192F65" w:rsidP="00CE0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2F65" w:rsidRPr="00A5696B" w:rsidRDefault="00192F65" w:rsidP="00CE0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ФКУ Нутрі 3 Концентрат  або еквівалент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2F65" w:rsidRPr="00A5696B" w:rsidRDefault="00192F65" w:rsidP="00CE0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F65" w:rsidRPr="00A5696B" w:rsidRDefault="00192F65" w:rsidP="0019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 xml:space="preserve"> бан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</w:tr>
      <w:tr w:rsidR="00192F65" w:rsidRPr="00A5696B" w:rsidTr="00CE0272">
        <w:trPr>
          <w:trHeight w:val="36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2F65" w:rsidRPr="00A5696B" w:rsidRDefault="00192F65" w:rsidP="00CE0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2F65" w:rsidRPr="00A5696B" w:rsidRDefault="00192F65" w:rsidP="00CE0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 xml:space="preserve">ФКУ Нутрі 3 </w:t>
            </w:r>
            <w:proofErr w:type="spellStart"/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Енерджі</w:t>
            </w:r>
            <w:proofErr w:type="spellEnd"/>
            <w:r w:rsidRPr="00A5696B">
              <w:rPr>
                <w:rFonts w:ascii="Times New Roman" w:hAnsi="Times New Roman" w:cs="Times New Roman"/>
                <w:sz w:val="24"/>
                <w:szCs w:val="24"/>
              </w:rPr>
              <w:t xml:space="preserve"> або еквівалент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2F65" w:rsidRPr="00A5696B" w:rsidRDefault="00192F65" w:rsidP="00CE0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F65" w:rsidRPr="00A5696B" w:rsidRDefault="00192F65" w:rsidP="0019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>гр 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696B">
              <w:rPr>
                <w:rFonts w:ascii="Times New Roman" w:hAnsi="Times New Roman" w:cs="Times New Roman"/>
                <w:sz w:val="24"/>
                <w:szCs w:val="24"/>
              </w:rPr>
              <w:t xml:space="preserve"> бан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bookmarkStart w:id="0" w:name="_GoBack"/>
            <w:bookmarkEnd w:id="0"/>
          </w:p>
        </w:tc>
      </w:tr>
    </w:tbl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*Всі торгові назви препаратів, які застосовуються в тендерній документації з  метою лаконічного та зрозумілого для фармацевтичних фахівців опису предмету закупівлі,  містять вираз «або еквівалент».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 xml:space="preserve">Запропонований учасником  товар за </w:t>
      </w:r>
      <w:proofErr w:type="spellStart"/>
      <w:r w:rsidRPr="00A5696B">
        <w:rPr>
          <w:rFonts w:ascii="Times New Roman" w:hAnsi="Times New Roman" w:cs="Times New Roman"/>
          <w:sz w:val="24"/>
          <w:szCs w:val="24"/>
        </w:rPr>
        <w:t>медико-технічними</w:t>
      </w:r>
      <w:proofErr w:type="spellEnd"/>
      <w:r w:rsidRPr="00A5696B">
        <w:rPr>
          <w:rFonts w:ascii="Times New Roman" w:hAnsi="Times New Roman" w:cs="Times New Roman"/>
          <w:sz w:val="24"/>
          <w:szCs w:val="24"/>
        </w:rPr>
        <w:t xml:space="preserve"> властивостями повинен відповідати наступним </w:t>
      </w:r>
      <w:proofErr w:type="spellStart"/>
      <w:r w:rsidRPr="00A5696B">
        <w:rPr>
          <w:rFonts w:ascii="Times New Roman" w:hAnsi="Times New Roman" w:cs="Times New Roman"/>
          <w:sz w:val="24"/>
          <w:szCs w:val="24"/>
        </w:rPr>
        <w:t>медико-технічним</w:t>
      </w:r>
      <w:proofErr w:type="spellEnd"/>
      <w:r w:rsidRPr="00A5696B">
        <w:rPr>
          <w:rFonts w:ascii="Times New Roman" w:hAnsi="Times New Roman" w:cs="Times New Roman"/>
          <w:sz w:val="24"/>
          <w:szCs w:val="24"/>
        </w:rPr>
        <w:t xml:space="preserve"> вимогам:</w:t>
      </w:r>
    </w:p>
    <w:p w:rsidR="00192F65" w:rsidRPr="00A5696B" w:rsidRDefault="00192F65" w:rsidP="00192F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F65" w:rsidRPr="00A5696B" w:rsidRDefault="00192F65" w:rsidP="00192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96B">
        <w:rPr>
          <w:rFonts w:ascii="Times New Roman" w:hAnsi="Times New Roman" w:cs="Times New Roman"/>
          <w:b/>
          <w:sz w:val="24"/>
          <w:szCs w:val="24"/>
        </w:rPr>
        <w:t>ФКУ Нутрі 3 Концентрат або еквівалент: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Концентрована суміш, адаптована до вікової категорії хворих,  в значній мірі задовольняє потребу організму в білку без фенілаланіну. Не призводить до збільшення обсягу їжі, має низьку калорійність.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ab/>
        <w:t xml:space="preserve">Орієнтовні критерії підбору спеціальних продуктів лікувального харчування для дорослих та дітей, хворих на </w:t>
      </w:r>
      <w:proofErr w:type="spellStart"/>
      <w:r w:rsidRPr="00A5696B">
        <w:rPr>
          <w:rFonts w:ascii="Times New Roman" w:hAnsi="Times New Roman" w:cs="Times New Roman"/>
          <w:sz w:val="24"/>
          <w:szCs w:val="24"/>
        </w:rPr>
        <w:t>фенілкетонурію</w:t>
      </w:r>
      <w:proofErr w:type="spellEnd"/>
      <w:r w:rsidRPr="00A5696B">
        <w:rPr>
          <w:rFonts w:ascii="Times New Roman" w:hAnsi="Times New Roman" w:cs="Times New Roman"/>
          <w:sz w:val="24"/>
          <w:szCs w:val="24"/>
        </w:rPr>
        <w:t xml:space="preserve"> від 8 років, що розроблені на основі Наказу Міністерства охорони України №829 від 25 вересня 2013 року «Про затвердження методичних рекомендацій планування та розрахунку кількості лікарських засобів, виробів </w:t>
      </w:r>
      <w:r w:rsidRPr="00A5696B">
        <w:rPr>
          <w:rFonts w:ascii="Times New Roman" w:hAnsi="Times New Roman" w:cs="Times New Roman"/>
          <w:sz w:val="24"/>
          <w:szCs w:val="24"/>
        </w:rPr>
        <w:lastRenderedPageBreak/>
        <w:t xml:space="preserve">медичного призначення, що </w:t>
      </w:r>
      <w:proofErr w:type="spellStart"/>
      <w:r w:rsidRPr="00A5696B">
        <w:rPr>
          <w:rFonts w:ascii="Times New Roman" w:hAnsi="Times New Roman" w:cs="Times New Roman"/>
          <w:sz w:val="24"/>
          <w:szCs w:val="24"/>
        </w:rPr>
        <w:t>закуповуються</w:t>
      </w:r>
      <w:proofErr w:type="spellEnd"/>
      <w:r w:rsidRPr="00A5696B">
        <w:rPr>
          <w:rFonts w:ascii="Times New Roman" w:hAnsi="Times New Roman" w:cs="Times New Roman"/>
          <w:sz w:val="24"/>
          <w:szCs w:val="24"/>
        </w:rPr>
        <w:t xml:space="preserve"> за рахунок коштів державного та місцевого бюджетів для забезпечення визначених груп населення, на основі відповідних реєстрів»: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Вміст білка (в еквіваленті) у 100 грамах сухого продукту не більше 75 грам.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Призначений для дітей від 8 років та дорослих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Набір амінокислот (кількість) в суміші - найвищий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 xml:space="preserve">Вміст суми незамінних та </w:t>
      </w:r>
      <w:proofErr w:type="spellStart"/>
      <w:r w:rsidRPr="00A5696B">
        <w:rPr>
          <w:rFonts w:ascii="Times New Roman" w:hAnsi="Times New Roman" w:cs="Times New Roman"/>
          <w:sz w:val="24"/>
          <w:szCs w:val="24"/>
        </w:rPr>
        <w:t>напівзамінних</w:t>
      </w:r>
      <w:proofErr w:type="spellEnd"/>
      <w:r w:rsidRPr="00A5696B">
        <w:rPr>
          <w:rFonts w:ascii="Times New Roman" w:hAnsi="Times New Roman" w:cs="Times New Roman"/>
          <w:sz w:val="24"/>
          <w:szCs w:val="24"/>
        </w:rPr>
        <w:t xml:space="preserve"> амінокислот (г) в </w:t>
      </w:r>
      <w:smartTag w:uri="urn:schemas-microsoft-com:office:smarttags" w:element="metricconverter">
        <w:smartTagPr>
          <w:attr w:name="ProductID" w:val="100 г"/>
        </w:smartTagPr>
        <w:r w:rsidRPr="00A5696B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A5696B">
        <w:rPr>
          <w:rFonts w:ascii="Times New Roman" w:hAnsi="Times New Roman" w:cs="Times New Roman"/>
          <w:sz w:val="24"/>
          <w:szCs w:val="24"/>
        </w:rPr>
        <w:t xml:space="preserve"> білка – оптимальний, що адаптований до вікової категорії хворого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Вуглеводний комплекс забезпечено за рахунок моносахаридів та полісахаридів при мінімальному вмісті сахарози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Присутність фенілаланіну допускається – згідно нормативів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 xml:space="preserve">Вміст суми амінокислот, які вміщують сірку (метіонін та цистеїн), (г) в </w:t>
      </w:r>
      <w:smartTag w:uri="urn:schemas-microsoft-com:office:smarttags" w:element="metricconverter">
        <w:smartTagPr>
          <w:attr w:name="ProductID" w:val="100 г"/>
        </w:smartTagPr>
        <w:r w:rsidRPr="00A5696B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A5696B">
        <w:rPr>
          <w:rFonts w:ascii="Times New Roman" w:hAnsi="Times New Roman" w:cs="Times New Roman"/>
          <w:sz w:val="24"/>
          <w:szCs w:val="24"/>
        </w:rPr>
        <w:t xml:space="preserve"> білка – оптимальний, що адаптований до вікової категорії хворого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 xml:space="preserve">Вміст тирозину (г) в </w:t>
      </w:r>
      <w:smartTag w:uri="urn:schemas-microsoft-com:office:smarttags" w:element="metricconverter">
        <w:smartTagPr>
          <w:attr w:name="ProductID" w:val="100 г"/>
        </w:smartTagPr>
        <w:r w:rsidRPr="00A5696B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A5696B">
        <w:rPr>
          <w:rFonts w:ascii="Times New Roman" w:hAnsi="Times New Roman" w:cs="Times New Roman"/>
          <w:sz w:val="24"/>
          <w:szCs w:val="24"/>
        </w:rPr>
        <w:t xml:space="preserve"> білка – оптимальний, що адаптований до вікової категорії хворого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Наявність в суміші необхідних мінеральних речовин, мікроелементів і вітамінів у збалансованій кількості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Продукт повинен бути вироблений з дотриманням умов належного виробництва та бути безпечним для використання.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*Згідно Ст. 1 Закону України «Про охорону дитинства» дитина - особа віком до 18 років (повноліття), якщо згідно з законом, застосовуваним до неї, вона не набуває прав повнолітньої раніше.</w:t>
      </w:r>
    </w:p>
    <w:p w:rsidR="00192F65" w:rsidRPr="00A5696B" w:rsidRDefault="00192F65" w:rsidP="00192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F65" w:rsidRPr="00A5696B" w:rsidRDefault="00192F65" w:rsidP="00192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96B">
        <w:rPr>
          <w:rFonts w:ascii="Times New Roman" w:hAnsi="Times New Roman" w:cs="Times New Roman"/>
          <w:b/>
          <w:sz w:val="24"/>
          <w:szCs w:val="24"/>
        </w:rPr>
        <w:t xml:space="preserve">ФКУ Нутрі 3 </w:t>
      </w:r>
      <w:proofErr w:type="spellStart"/>
      <w:r w:rsidRPr="00A5696B">
        <w:rPr>
          <w:rFonts w:ascii="Times New Roman" w:hAnsi="Times New Roman" w:cs="Times New Roman"/>
          <w:b/>
          <w:sz w:val="24"/>
          <w:szCs w:val="24"/>
        </w:rPr>
        <w:t>Енерджі</w:t>
      </w:r>
      <w:proofErr w:type="spellEnd"/>
      <w:r w:rsidRPr="00A5696B">
        <w:rPr>
          <w:rFonts w:ascii="Times New Roman" w:hAnsi="Times New Roman" w:cs="Times New Roman"/>
          <w:b/>
          <w:sz w:val="24"/>
          <w:szCs w:val="24"/>
        </w:rPr>
        <w:t xml:space="preserve"> або еквівалент: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Концентрована суміш, адаптована до вікової категорії хворих,  в значній мірі задовольняє потребу організму в білку без фенілаланіну. Не призводить до збільшення обсягу їжі, має низьку калорійність.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ab/>
        <w:t xml:space="preserve">Орієнтовні критерії підбору спеціальних продуктів лікувального харчування для дорослих та дітей, хворих на </w:t>
      </w:r>
      <w:proofErr w:type="spellStart"/>
      <w:r w:rsidRPr="00A5696B">
        <w:rPr>
          <w:rFonts w:ascii="Times New Roman" w:hAnsi="Times New Roman" w:cs="Times New Roman"/>
          <w:sz w:val="24"/>
          <w:szCs w:val="24"/>
        </w:rPr>
        <w:t>фенілкетонурію</w:t>
      </w:r>
      <w:proofErr w:type="spellEnd"/>
      <w:r w:rsidRPr="00A5696B">
        <w:rPr>
          <w:rFonts w:ascii="Times New Roman" w:hAnsi="Times New Roman" w:cs="Times New Roman"/>
          <w:sz w:val="24"/>
          <w:szCs w:val="24"/>
        </w:rPr>
        <w:t xml:space="preserve"> від 9 років, що розроблені на основі Наказу Міністерства охорони України №829 від 25 вересня 2013 року «Про затвердження методичних рекомендацій планування та розрахунку кількості лікарських засобів, виробів медичного призначення, що </w:t>
      </w:r>
      <w:proofErr w:type="spellStart"/>
      <w:r w:rsidRPr="00A5696B">
        <w:rPr>
          <w:rFonts w:ascii="Times New Roman" w:hAnsi="Times New Roman" w:cs="Times New Roman"/>
          <w:sz w:val="24"/>
          <w:szCs w:val="24"/>
        </w:rPr>
        <w:t>закуповуються</w:t>
      </w:r>
      <w:proofErr w:type="spellEnd"/>
      <w:r w:rsidRPr="00A5696B">
        <w:rPr>
          <w:rFonts w:ascii="Times New Roman" w:hAnsi="Times New Roman" w:cs="Times New Roman"/>
          <w:sz w:val="24"/>
          <w:szCs w:val="24"/>
        </w:rPr>
        <w:t xml:space="preserve"> за рахунок коштів державного та місцевого бюджетів для забезпечення визначених груп населення, на основі відповідних реєстрів»: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Вміст білка (в еквіваленті) у 100 грамах сухого продукту не більше 45 грам.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Призначений для дітей від 9 років та дорослих та вагітних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lastRenderedPageBreak/>
        <w:t>Набір амінокислот (кількість) в суміші - найвищий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 xml:space="preserve">Вміст суми незамінних та </w:t>
      </w:r>
      <w:proofErr w:type="spellStart"/>
      <w:r w:rsidRPr="00A5696B">
        <w:rPr>
          <w:rFonts w:ascii="Times New Roman" w:hAnsi="Times New Roman" w:cs="Times New Roman"/>
          <w:sz w:val="24"/>
          <w:szCs w:val="24"/>
        </w:rPr>
        <w:t>напівзамінних</w:t>
      </w:r>
      <w:proofErr w:type="spellEnd"/>
      <w:r w:rsidRPr="00A5696B">
        <w:rPr>
          <w:rFonts w:ascii="Times New Roman" w:hAnsi="Times New Roman" w:cs="Times New Roman"/>
          <w:sz w:val="24"/>
          <w:szCs w:val="24"/>
        </w:rPr>
        <w:t xml:space="preserve"> амінокислот (г) в </w:t>
      </w:r>
      <w:smartTag w:uri="urn:schemas-microsoft-com:office:smarttags" w:element="metricconverter">
        <w:smartTagPr>
          <w:attr w:name="ProductID" w:val="100 г"/>
        </w:smartTagPr>
        <w:r w:rsidRPr="00A5696B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A5696B">
        <w:rPr>
          <w:rFonts w:ascii="Times New Roman" w:hAnsi="Times New Roman" w:cs="Times New Roman"/>
          <w:sz w:val="24"/>
          <w:szCs w:val="24"/>
        </w:rPr>
        <w:t xml:space="preserve"> білка – оптимальний, що адаптований до вікової категорії хворого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Вуглеводний комплекс забезпечено за рахунок моносахаридів та полісахаридів при мінімальному вмісті сахарози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Присутність фенілаланіну допускається – згідно нормативів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 xml:space="preserve">Вміст суми амінокислот, які вміщують сірку (метіонін та цистеїн), (г) в </w:t>
      </w:r>
      <w:smartTag w:uri="urn:schemas-microsoft-com:office:smarttags" w:element="metricconverter">
        <w:smartTagPr>
          <w:attr w:name="ProductID" w:val="100 г"/>
        </w:smartTagPr>
        <w:r w:rsidRPr="00A5696B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A5696B">
        <w:rPr>
          <w:rFonts w:ascii="Times New Roman" w:hAnsi="Times New Roman" w:cs="Times New Roman"/>
          <w:sz w:val="24"/>
          <w:szCs w:val="24"/>
        </w:rPr>
        <w:t xml:space="preserve"> білка – оптимальний, що адаптований до вікової категорії хворого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 xml:space="preserve">Вміст тирозину (г) в </w:t>
      </w:r>
      <w:smartTag w:uri="urn:schemas-microsoft-com:office:smarttags" w:element="metricconverter">
        <w:smartTagPr>
          <w:attr w:name="ProductID" w:val="100 г"/>
        </w:smartTagPr>
        <w:r w:rsidRPr="00A5696B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A5696B">
        <w:rPr>
          <w:rFonts w:ascii="Times New Roman" w:hAnsi="Times New Roman" w:cs="Times New Roman"/>
          <w:sz w:val="24"/>
          <w:szCs w:val="24"/>
        </w:rPr>
        <w:t xml:space="preserve"> білка – оптимальний, що адаптований до вікової категорії хворого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Наявність в суміші необхідних мінеральних речовин, мікроелементів і вітамінів у збалансованій кількості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Продукт повинен бути вироблений з дотриманням умов належного виробництва та бути безпечним для використання.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Для підтвердження учасник надає гарантійний лист про відповідність вищезазначених вимог.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F65" w:rsidRPr="00A5696B" w:rsidRDefault="00192F65" w:rsidP="00192F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96B">
        <w:rPr>
          <w:rFonts w:ascii="Times New Roman" w:hAnsi="Times New Roman" w:cs="Times New Roman"/>
          <w:b/>
          <w:sz w:val="24"/>
          <w:szCs w:val="24"/>
        </w:rPr>
        <w:t>Загальні вимоги :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Товар, що є предметом закупівлі, повинен бути зареєстрований відповідно до вимог чинного законодавства. (Надати копії свідоцтв про державну реєстрацію та / або сертифікату чи декларації відповідності).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Термін придатності предмету закупівлі на момент поставки має становити не менше 12 місяців від задекларованого виробником терміну з моменту поставки. Для підтвердження учасник надає гарантійний лист про термін придатності.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Строк поставки предмету закупівлі повинен становити не більше 5 днів з моменту отримання письмової заявки. Для підтвердження учасник надає гарантійний лист про строк поставки предмету закупівлі.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Предмет закупівлі повинен мати інструкцію з застосування. Для підтвердження учасником надається копія інструкції про застосування предмета закупівлі.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Текст маркування (етикетування) затверджений належним чином.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 xml:space="preserve">Сертифікат аналізу Виробника щодо серійного контролю. 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 xml:space="preserve">Таблицю відповідності  запропонованого товару </w:t>
      </w:r>
      <w:proofErr w:type="spellStart"/>
      <w:r w:rsidRPr="00A5696B">
        <w:rPr>
          <w:rFonts w:ascii="Times New Roman" w:hAnsi="Times New Roman" w:cs="Times New Roman"/>
          <w:sz w:val="24"/>
          <w:szCs w:val="24"/>
        </w:rPr>
        <w:t>медико-</w:t>
      </w:r>
      <w:proofErr w:type="spellEnd"/>
      <w:r w:rsidRPr="00A5696B">
        <w:rPr>
          <w:rFonts w:ascii="Times New Roman" w:hAnsi="Times New Roman" w:cs="Times New Roman"/>
          <w:sz w:val="24"/>
          <w:szCs w:val="24"/>
        </w:rPr>
        <w:t xml:space="preserve"> технічним вимогам вказаним у цьому додатку. У разі, якщо Учасник пропонує до закупівлі - еквівалент, він повинен надати </w:t>
      </w:r>
      <w:proofErr w:type="spellStart"/>
      <w:r w:rsidRPr="00A5696B">
        <w:rPr>
          <w:rFonts w:ascii="Times New Roman" w:hAnsi="Times New Roman" w:cs="Times New Roman"/>
          <w:sz w:val="24"/>
          <w:szCs w:val="24"/>
        </w:rPr>
        <w:t>заключення</w:t>
      </w:r>
      <w:proofErr w:type="spellEnd"/>
      <w:r w:rsidRPr="00A5696B">
        <w:rPr>
          <w:rFonts w:ascii="Times New Roman" w:hAnsi="Times New Roman" w:cs="Times New Roman"/>
          <w:sz w:val="24"/>
          <w:szCs w:val="24"/>
        </w:rPr>
        <w:t xml:space="preserve">  про еквівалентність, яка видана державною установою, яка акредитована на проведення робіт із гігієнічної регламентації.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>Міжнародний сертифікат якості Виробника щодо підтвердження якості виробництва стандартам належної практики.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lastRenderedPageBreak/>
        <w:t>Запропонований товар повинен відповідати вимогам чинного законодавства із захисту довкілля. Для підтвердження учасник надає лист в довільній формі про застосування заходів із захисту довкілля.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5696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5696B">
        <w:rPr>
          <w:rFonts w:ascii="Times New Roman" w:hAnsi="Times New Roman" w:cs="Times New Roman"/>
          <w:b/>
          <w:sz w:val="24"/>
          <w:szCs w:val="24"/>
        </w:rPr>
        <w:t xml:space="preserve"> 3. Очікувана вартість предмета закупівлі </w:t>
      </w:r>
      <w:r w:rsidRPr="00A5696B">
        <w:rPr>
          <w:rFonts w:ascii="Times New Roman" w:hAnsi="Times New Roman" w:cs="Times New Roman"/>
          <w:sz w:val="24"/>
          <w:szCs w:val="24"/>
        </w:rPr>
        <w:t xml:space="preserve">- 431 881,00 </w:t>
      </w:r>
      <w:proofErr w:type="spellStart"/>
      <w:r w:rsidRPr="00A5696B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5696B">
        <w:rPr>
          <w:rFonts w:ascii="Times New Roman" w:hAnsi="Times New Roman" w:cs="Times New Roman"/>
          <w:sz w:val="24"/>
          <w:szCs w:val="24"/>
        </w:rPr>
        <w:t xml:space="preserve"> з ПДВ. </w:t>
      </w: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F65" w:rsidRPr="00A5696B" w:rsidRDefault="00192F65" w:rsidP="00192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01CF" w:rsidRDefault="00A501CF"/>
    <w:sectPr w:rsidR="00A501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DA"/>
    <w:rsid w:val="00192F65"/>
    <w:rsid w:val="00241A6D"/>
    <w:rsid w:val="0051354E"/>
    <w:rsid w:val="00536785"/>
    <w:rsid w:val="006F0CDA"/>
    <w:rsid w:val="009A3AA5"/>
    <w:rsid w:val="00A501CF"/>
    <w:rsid w:val="00A7632E"/>
    <w:rsid w:val="00D5696B"/>
    <w:rsid w:val="00E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65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2F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65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2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2021-01-15T15:58:00Z</dcterms:created>
  <dcterms:modified xsi:type="dcterms:W3CDTF">2021-01-15T16:00:00Z</dcterms:modified>
</cp:coreProperties>
</file>