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120" w:after="0"/>
        <w:contextualSpacing/>
        <w:jc w:val="center"/>
        <w:rPr>
          <w:color w:val="000000"/>
        </w:rPr>
      </w:pPr>
      <w:bookmarkStart w:id="0" w:name="_GoBack"/>
      <w:bookmarkEnd w:id="0"/>
      <w:r>
        <w:rPr>
          <w:rFonts w:ascii="Times New Roman" w:hAnsi="Times New Roman"/>
          <w:b/>
          <w:caps/>
          <w:color w:val="000000"/>
          <w:sz w:val="24"/>
          <w:szCs w:val="24"/>
          <w:lang w:eastAsia="ar-SA"/>
        </w:rPr>
        <w:t>Комунальне некомерційне підприємство</w:t>
      </w:r>
    </w:p>
    <w:p>
      <w:pPr>
        <w:pStyle w:val="Normal"/>
        <w:suppressAutoHyphens w:val="true"/>
        <w:spacing w:lineRule="auto" w:line="360" w:before="0" w:after="0"/>
        <w:jc w:val="center"/>
        <w:rPr>
          <w:color w:val="000000"/>
        </w:rPr>
      </w:pPr>
      <w:r>
        <w:rPr>
          <w:rFonts w:ascii="Times New Roman" w:hAnsi="Times New Roman"/>
          <w:b/>
          <w:caps/>
          <w:color w:val="000000"/>
          <w:sz w:val="24"/>
          <w:szCs w:val="24"/>
          <w:lang w:eastAsia="ar-SA"/>
        </w:rPr>
        <w:t>«Міська поліклініка № 20» Харківської міської ради</w:t>
      </w:r>
    </w:p>
    <w:p>
      <w:pPr>
        <w:pStyle w:val="Normal"/>
        <w:jc w:val="both"/>
        <w:rPr>
          <w:color w:val="000000"/>
        </w:rPr>
      </w:pPr>
      <w:r>
        <w:rPr>
          <w:rFonts w:ascii="Times New Roman" w:hAnsi="Times New Roman"/>
          <w:b/>
          <w:bCs/>
          <w:color w:val="000000"/>
          <w:sz w:val="24"/>
          <w:szCs w:val="24"/>
          <w:lang w:eastAsia="uk-UA"/>
        </w:rPr>
        <w:t xml:space="preserve">ОБҐРУНТУВАННЯ </w:t>
      </w:r>
      <w:r>
        <w:rPr>
          <w:rFonts w:ascii="Times New Roman" w:hAnsi="Times New Roman"/>
          <w:color w:val="000000"/>
          <w:sz w:val="24"/>
          <w:szCs w:val="24"/>
          <w:lang w:eastAsia="uk-UA"/>
        </w:rPr>
        <w:t xml:space="preserve">технічних та якісних характеристик  </w:t>
      </w:r>
      <w:r>
        <w:rPr>
          <w:rFonts w:ascii="Times New Roman" w:hAnsi="Times New Roman"/>
          <w:b w:val="false"/>
          <w:bCs w:val="false"/>
          <w:color w:val="000000"/>
          <w:sz w:val="24"/>
          <w:szCs w:val="24"/>
          <w:lang w:eastAsia="uk-UA"/>
        </w:rPr>
        <w:t xml:space="preserve">закупівлі </w:t>
      </w:r>
      <w:bookmarkStart w:id="1" w:name="tenderTitle"/>
      <w:bookmarkEnd w:id="1"/>
      <w:r>
        <w:rPr>
          <w:rFonts w:cs="Times New Roman" w:ascii="Times New Roman" w:hAnsi="Times New Roman"/>
          <w:b/>
          <w:bCs/>
          <w:i w:val="false"/>
          <w:iCs w:val="false"/>
          <w:color w:val="000000"/>
          <w:sz w:val="24"/>
          <w:szCs w:val="24"/>
          <w:u w:val="none"/>
          <w:lang w:eastAsia="uk-UA"/>
        </w:rPr>
        <w:t>Медичне обладнання та вироби медичного призначення різні</w:t>
      </w:r>
      <w:r>
        <w:rPr>
          <w:rFonts w:ascii="Times New Roman" w:hAnsi="Times New Roman"/>
          <w:b w:val="false"/>
          <w:bCs w:val="false"/>
          <w:i w:val="false"/>
          <w:iCs w:val="false"/>
          <w:color w:val="000000"/>
          <w:sz w:val="24"/>
          <w:szCs w:val="24"/>
          <w:u w:val="none"/>
          <w:lang w:eastAsia="uk-UA"/>
        </w:rPr>
        <w:t xml:space="preserve"> </w:t>
      </w:r>
      <w:r>
        <w:rPr>
          <w:rFonts w:cs="Times New Roman" w:ascii="Times New Roman" w:hAnsi="Times New Roman"/>
          <w:b/>
          <w:bCs/>
          <w:i w:val="false"/>
          <w:iCs w:val="false"/>
          <w:color w:val="000000"/>
          <w:sz w:val="24"/>
          <w:szCs w:val="24"/>
          <w:u w:val="none"/>
          <w:lang w:eastAsia="uk-UA"/>
        </w:rPr>
        <w:t>Код за ДК 021:2015: 33190000-8 Медичне обладнання та вироби медичного призначення різні (61032 Кювета для лабораторного аналізатора IVD (діагностика in vitro ) одноразового використання; 43845 Змішувач лабораторний стандартний)</w:t>
      </w:r>
    </w:p>
    <w:p>
      <w:pPr>
        <w:pStyle w:val="Normal"/>
        <w:jc w:val="both"/>
        <w:rPr>
          <w:color w:val="000000"/>
        </w:rPr>
      </w:pPr>
      <w:r>
        <w:rPr>
          <w:rFonts w:cs="Times New Roman" w:ascii="Times New Roman" w:hAnsi="Times New Roman"/>
          <w:b/>
          <w:bCs/>
          <w:i/>
          <w:iCs/>
          <w:color w:val="000000"/>
          <w:sz w:val="24"/>
          <w:szCs w:val="24"/>
          <w:lang w:eastAsia="uk-UA"/>
        </w:rPr>
        <w:t xml:space="preserve"> </w:t>
      </w:r>
      <w:r>
        <w:rPr>
          <w:rFonts w:ascii="Times New Roman" w:hAnsi="Times New Roman"/>
          <w:i/>
          <w:iCs/>
          <w:color w:val="000000"/>
          <w:sz w:val="24"/>
          <w:szCs w:val="24"/>
          <w:lang w:eastAsia="uk-UA"/>
        </w:rPr>
        <w:t xml:space="preserve">(оприлюднюється на виконання постанови КМУ № 710 від 11.10.2016 «Про ефективне використання державних коштів» (зі змінами)). </w:t>
      </w:r>
      <w:r>
        <w:rPr>
          <w:rFonts w:ascii="Times New Roman" w:hAnsi="Times New Roman"/>
          <w:color w:val="000000"/>
          <w:sz w:val="24"/>
          <w:szCs w:val="24"/>
        </w:rPr>
        <w:t xml:space="preserve">Відповідно до ч.2 </w:t>
      </w:r>
      <w:r>
        <w:rPr>
          <w:rFonts w:ascii="Times New Roman" w:hAnsi="Times New Roman"/>
          <w:color w:val="000000"/>
          <w:sz w:val="24"/>
          <w:szCs w:val="24"/>
          <w:shd w:fill="FFFFFF" w:val="clear"/>
        </w:rPr>
        <w:t>ст.3  Закону України «Про відкритість використання публічних коштів»: «Інформація, зазначена в цьому пункті, оприлюднюється щорічно, не пізніше 31 січня року, наступного за звітним роком, та зберігається в режимі вільного доступу протягом трьох років з дня оприлюднення.»</w:t>
      </w:r>
    </w:p>
    <w:p>
      <w:pPr>
        <w:pStyle w:val="Normal"/>
        <w:jc w:val="both"/>
        <w:rPr>
          <w:color w:val="000000"/>
        </w:rPr>
      </w:pPr>
      <w:r>
        <w:rPr>
          <w:rFonts w:ascii="Times New Roman" w:hAnsi="Times New Roman"/>
          <w:color w:val="000000"/>
          <w:sz w:val="24"/>
          <w:szCs w:val="24"/>
          <w:lang w:eastAsia="uk-UA"/>
        </w:rPr>
        <w:br/>
      </w:r>
      <w:r>
        <w:rPr>
          <w:rFonts w:ascii="Times New Roman" w:hAnsi="Times New Roman"/>
          <w:b w:val="false"/>
          <w:bCs w:val="false"/>
          <w:color w:val="000000"/>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hAnsi="Times New Roman"/>
          <w:b/>
          <w:bCs/>
          <w:color w:val="000000"/>
          <w:sz w:val="24"/>
          <w:szCs w:val="24"/>
          <w:lang w:eastAsia="uk-UA"/>
        </w:rPr>
        <w:t xml:space="preserve"> </w:t>
      </w:r>
      <w:r>
        <w:rPr>
          <w:rFonts w:ascii="Times New Roman" w:hAnsi="Times New Roman"/>
          <w:b/>
          <w:bCs/>
          <w:color w:val="000000"/>
          <w:sz w:val="24"/>
          <w:szCs w:val="24"/>
          <w:u w:val="single"/>
          <w:lang w:eastAsia="uk-UA"/>
        </w:rPr>
        <w:t xml:space="preserve">Комунальне  некомерційне підприємство  «Міська  поліклініка  № 20»  Харківської  міської  ради ; </w:t>
      </w:r>
      <w:r>
        <w:rPr>
          <w:rFonts w:ascii="Times New Roman" w:hAnsi="Times New Roman"/>
          <w:b/>
          <w:bCs/>
          <w:color w:val="000000"/>
          <w:sz w:val="24"/>
          <w:szCs w:val="24"/>
          <w:u w:val="single"/>
        </w:rPr>
        <w:t>61068, Україна, Харківська область, м. Харків, проспект Героїв Харкова, буд.179;</w:t>
      </w:r>
      <w:r>
        <w:rPr>
          <w:rFonts w:ascii="Times New Roman" w:hAnsi="Times New Roman"/>
          <w:b/>
          <w:bCs/>
          <w:color w:val="000000"/>
          <w:sz w:val="24"/>
          <w:szCs w:val="24"/>
          <w:u w:val="single"/>
          <w:lang w:eastAsia="uk-UA"/>
        </w:rPr>
        <w:t xml:space="preserve"> ідентифікаційний код: 34017656;</w:t>
      </w:r>
      <w:r>
        <w:rPr>
          <w:rFonts w:ascii="Times New Roman" w:hAnsi="Times New Roman"/>
          <w:b/>
          <w:bCs/>
          <w:color w:val="000000"/>
          <w:sz w:val="24"/>
          <w:szCs w:val="24"/>
          <w:u w:val="single"/>
        </w:rPr>
        <w:t xml:space="preserve"> юридична  особа, яка  забезпечує  потреби  держави  або  територіальної  громади</w:t>
      </w:r>
    </w:p>
    <w:p>
      <w:pPr>
        <w:pStyle w:val="Normal"/>
        <w:spacing w:lineRule="auto" w:line="240" w:before="240" w:after="0"/>
        <w:jc w:val="both"/>
        <w:rPr>
          <w:rFonts w:ascii="Times New Roman" w:hAnsi="Times New Roman" w:eastAsia="Times New Roman"/>
          <w:color w:val="000000"/>
          <w:sz w:val="24"/>
          <w:szCs w:val="24"/>
        </w:rPr>
      </w:pPr>
      <w:r>
        <w:rPr>
          <w:rFonts w:eastAsia="Times New Roman" w:ascii="Times New Roman" w:hAnsi="Times New Roman"/>
          <w:color w:val="000000"/>
          <w:sz w:val="24"/>
          <w:szCs w:val="24"/>
        </w:rPr>
      </w:r>
    </w:p>
    <w:p>
      <w:pPr>
        <w:pStyle w:val="Normal"/>
        <w:jc w:val="both"/>
        <w:rPr>
          <w:color w:val="000000"/>
        </w:rPr>
      </w:pPr>
      <w:r>
        <w:rPr>
          <w:rFonts w:ascii="Times New Roman" w:hAnsi="Times New Roman"/>
          <w:b w:val="false"/>
          <w:bCs w:val="false"/>
          <w:color w:val="000000"/>
          <w:sz w:val="24"/>
          <w:szCs w:val="24"/>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b/>
          <w:bCs/>
          <w:color w:val="000000"/>
          <w:sz w:val="24"/>
          <w:szCs w:val="24"/>
          <w:lang w:eastAsia="uk-UA"/>
        </w:rPr>
        <w:t xml:space="preserve"> </w:t>
      </w:r>
      <w:r>
        <w:rPr>
          <w:rFonts w:cs="Times New Roman" w:ascii="Times New Roman" w:hAnsi="Times New Roman"/>
          <w:b/>
          <w:bCs/>
          <w:i w:val="false"/>
          <w:iCs w:val="false"/>
          <w:color w:val="000000"/>
          <w:sz w:val="24"/>
          <w:szCs w:val="24"/>
          <w:lang w:eastAsia="uk-UA"/>
        </w:rPr>
        <w:t>Медичне обладнання та вироби медичного призначення різні</w:t>
      </w:r>
      <w:r>
        <w:rPr>
          <w:rFonts w:ascii="Times New Roman" w:hAnsi="Times New Roman"/>
          <w:b w:val="false"/>
          <w:bCs w:val="false"/>
          <w:i w:val="false"/>
          <w:iCs w:val="false"/>
          <w:color w:val="000000"/>
          <w:sz w:val="24"/>
          <w:szCs w:val="24"/>
          <w:lang w:eastAsia="uk-UA"/>
        </w:rPr>
        <w:t xml:space="preserve"> </w:t>
      </w:r>
      <w:r>
        <w:rPr>
          <w:rFonts w:cs="Times New Roman" w:ascii="Times New Roman" w:hAnsi="Times New Roman"/>
          <w:b/>
          <w:bCs/>
          <w:i w:val="false"/>
          <w:iCs w:val="false"/>
          <w:color w:val="000000"/>
          <w:sz w:val="24"/>
          <w:szCs w:val="24"/>
          <w:lang w:eastAsia="uk-UA"/>
        </w:rPr>
        <w:t>Код за ДК 021:2015: 33190000-8 Медичне обладнання та вироби медичного призначення різні (61032 Кювета для лабораторного аналізатора IVD (діагностика in vitro ) одноразового використання; 43845 Змішувач лабораторний стандартний)</w:t>
      </w:r>
    </w:p>
    <w:p>
      <w:pPr>
        <w:pStyle w:val="Normal"/>
        <w:jc w:val="both"/>
        <w:rPr>
          <w:color w:val="000000"/>
        </w:rPr>
      </w:pPr>
      <w:r>
        <w:rPr>
          <w:rFonts w:eastAsia="Times New Roman" w:ascii="Times New Roman" w:hAnsi="Times New Roman"/>
          <w:b/>
          <w:bCs/>
          <w:color w:val="000000"/>
          <w:sz w:val="24"/>
          <w:szCs w:val="24"/>
          <w:lang w:eastAsia="uk-UA"/>
        </w:rPr>
        <w:t> </w:t>
      </w:r>
    </w:p>
    <w:p>
      <w:pPr>
        <w:pStyle w:val="Normal"/>
        <w:jc w:val="both"/>
        <w:rPr>
          <w:color w:val="000000"/>
        </w:rPr>
      </w:pPr>
      <w:r>
        <w:rPr>
          <w:rFonts w:ascii="Times New Roman" w:hAnsi="Times New Roman"/>
          <w:b/>
          <w:bCs/>
          <w:color w:val="000000"/>
          <w:sz w:val="24"/>
          <w:szCs w:val="24"/>
          <w:lang w:eastAsia="uk-UA"/>
        </w:rPr>
        <w:t xml:space="preserve"> </w:t>
      </w:r>
      <w:r>
        <w:rPr>
          <w:rFonts w:ascii="Times New Roman" w:hAnsi="Times New Roman"/>
          <w:b/>
          <w:bCs/>
          <w:color w:val="000000"/>
          <w:sz w:val="24"/>
          <w:szCs w:val="24"/>
          <w:lang w:eastAsia="uk-UA"/>
        </w:rPr>
        <w:t xml:space="preserve">Вид та ідентифікатор процедури закупівлі:  </w:t>
      </w:r>
      <w:r>
        <w:rPr>
          <w:rFonts w:ascii="Times New Roman" w:hAnsi="Times New Roman"/>
          <w:b/>
          <w:bCs/>
          <w:color w:val="000000"/>
          <w:sz w:val="24"/>
          <w:szCs w:val="24"/>
          <w:u w:val="single"/>
          <w:shd w:fill="F0F5F2" w:val="clear"/>
          <w:lang w:eastAsia="uk-UA"/>
        </w:rPr>
        <w:t xml:space="preserve">ВІДКРИТІ ТОРГИ З ОСОБЛИВОСТЯМИ </w:t>
      </w:r>
    </w:p>
    <w:p>
      <w:pPr>
        <w:pStyle w:val="Normal"/>
        <w:jc w:val="both"/>
        <w:rPr>
          <w:color w:val="000000"/>
        </w:rPr>
      </w:pPr>
      <w:bookmarkStart w:id="2" w:name="selectable"/>
      <w:bookmarkEnd w:id="2"/>
      <w:r>
        <w:rPr>
          <w:rFonts w:ascii="Times New Roman" w:hAnsi="Times New Roman"/>
          <w:color w:val="000000"/>
          <w:sz w:val="24"/>
          <w:szCs w:val="24"/>
          <w:u w:val="single"/>
          <w:shd w:fill="F0F5F2" w:val="clear"/>
          <w:lang w:eastAsia="uk-UA"/>
        </w:rPr>
        <w:t xml:space="preserve">UA-2024-04-12-008768-a </w:t>
      </w:r>
    </w:p>
    <w:p>
      <w:pPr>
        <w:pStyle w:val="Normal"/>
        <w:jc w:val="both"/>
        <w:rPr>
          <w:color w:val="000000"/>
        </w:rPr>
      </w:pPr>
      <w:r>
        <w:rPr/>
      </w:r>
    </w:p>
    <w:p>
      <w:pPr>
        <w:pStyle w:val="Normal"/>
        <w:jc w:val="both"/>
        <w:rPr>
          <w:color w:val="000000"/>
        </w:rPr>
      </w:pPr>
      <w:r>
        <w:rPr>
          <w:rFonts w:ascii="Times New Roman" w:hAnsi="Times New Roman"/>
          <w:color w:val="000000"/>
          <w:sz w:val="24"/>
          <w:szCs w:val="24"/>
          <w:u w:val="single"/>
          <w:shd w:fill="F0F5F2" w:val="clear"/>
          <w:lang w:eastAsia="uk-UA"/>
        </w:rPr>
        <w:t xml:space="preserve"> </w:t>
      </w:r>
    </w:p>
    <w:p>
      <w:pPr>
        <w:pStyle w:val="Normal"/>
        <w:jc w:val="both"/>
        <w:rPr>
          <w:rFonts w:ascii="Times New Roman" w:hAnsi="Times New Roman"/>
          <w:color w:val="000000"/>
          <w:sz w:val="24"/>
          <w:szCs w:val="24"/>
          <w:shd w:fill="F0F5F2" w:val="clear"/>
        </w:rPr>
      </w:pPr>
      <w:r>
        <w:rPr>
          <w:rFonts w:ascii="Times New Roman" w:hAnsi="Times New Roman"/>
          <w:color w:val="000000"/>
          <w:sz w:val="24"/>
          <w:szCs w:val="24"/>
          <w:shd w:fill="F0F5F2" w:val="clear"/>
        </w:rPr>
      </w:r>
    </w:p>
    <w:p>
      <w:pPr>
        <w:pStyle w:val="Normal"/>
        <w:jc w:val="both"/>
        <w:rPr>
          <w:color w:val="000000"/>
        </w:rPr>
      </w:pPr>
      <w:r>
        <w:rPr>
          <w:rFonts w:ascii="Times New Roman" w:hAnsi="Times New Roman"/>
          <w:b/>
          <w:bCs/>
          <w:color w:val="000000"/>
          <w:sz w:val="24"/>
          <w:szCs w:val="24"/>
          <w:shd w:fill="FFFFFF" w:val="clear"/>
        </w:rPr>
        <w:t>Вид закупівлі:</w:t>
      </w:r>
      <w:r>
        <w:rPr>
          <w:rFonts w:ascii="Times New Roman" w:hAnsi="Times New Roman"/>
          <w:color w:val="000000"/>
          <w:sz w:val="24"/>
          <w:szCs w:val="24"/>
          <w:shd w:fill="FFFFFF" w:val="clear"/>
        </w:rPr>
        <w:t xml:space="preserve"> </w:t>
      </w:r>
      <w:r>
        <w:rPr>
          <w:rFonts w:ascii="Times New Roman" w:hAnsi="Times New Roman"/>
          <w:color w:val="000000"/>
          <w:sz w:val="24"/>
          <w:szCs w:val="24"/>
          <w:u w:val="single"/>
          <w:shd w:fill="FFFFFF" w:val="clear"/>
        </w:rPr>
        <w:t>процедура закупівлі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p>
    <w:p>
      <w:pPr>
        <w:pStyle w:val="Normal"/>
        <w:spacing w:lineRule="auto" w:line="240" w:before="0" w:after="0"/>
        <w:jc w:val="both"/>
        <w:rPr>
          <w:rFonts w:ascii="Times New Roman" w:hAnsi="Times New Roman"/>
          <w:color w:val="000000"/>
          <w:sz w:val="24"/>
          <w:szCs w:val="24"/>
          <w:u w:val="single"/>
          <w:shd w:fill="FFFFFF" w:val="clear"/>
        </w:rPr>
      </w:pPr>
      <w:r>
        <w:rPr>
          <w:rFonts w:ascii="Times New Roman" w:hAnsi="Times New Roman"/>
          <w:color w:val="000000"/>
          <w:sz w:val="24"/>
          <w:szCs w:val="24"/>
          <w:u w:val="single"/>
          <w:shd w:fill="FFFFFF" w:val="clear"/>
        </w:rPr>
      </w:r>
    </w:p>
    <w:p>
      <w:pPr>
        <w:pStyle w:val="Normal"/>
        <w:spacing w:lineRule="auto" w:line="240" w:before="0" w:after="0"/>
        <w:jc w:val="both"/>
        <w:rPr>
          <w:color w:val="000000"/>
        </w:rPr>
      </w:pPr>
      <w:r>
        <w:rPr>
          <w:rFonts w:ascii="Times New Roman" w:hAnsi="Times New Roman"/>
          <w:b/>
          <w:bCs/>
          <w:color w:val="000000"/>
          <w:sz w:val="24"/>
          <w:szCs w:val="24"/>
          <w:lang w:eastAsia="uk-UA"/>
        </w:rPr>
        <w:t>Очікувана вартість та обґрунтування очікуваної вартості предмета закупівлі:</w:t>
      </w:r>
      <w:r>
        <w:rPr>
          <w:rFonts w:ascii="Times New Roman" w:hAnsi="Times New Roman"/>
          <w:color w:val="000000"/>
          <w:sz w:val="24"/>
          <w:szCs w:val="24"/>
          <w:lang w:eastAsia="uk-UA"/>
        </w:rPr>
        <w:t xml:space="preserve">          </w:t>
      </w:r>
      <w:r>
        <w:rPr>
          <w:rFonts w:ascii="Times New Roman" w:hAnsi="Times New Roman"/>
          <w:color w:val="000000"/>
          <w:sz w:val="24"/>
          <w:szCs w:val="24"/>
          <w:lang w:eastAsia="uk-UA"/>
        </w:rPr>
        <w:t>29000,00</w:t>
      </w:r>
      <w:r>
        <w:rPr>
          <w:rFonts w:ascii="Times New Roman" w:hAnsi="Times New Roman"/>
          <w:color w:val="000000"/>
          <w:sz w:val="24"/>
          <w:szCs w:val="24"/>
          <w:u w:val="none"/>
          <w:lang w:eastAsia="ru-RU"/>
        </w:rPr>
        <w:t xml:space="preserve"> </w:t>
      </w:r>
      <w:r>
        <w:rPr>
          <w:rFonts w:ascii="Times New Roman" w:hAnsi="Times New Roman"/>
          <w:color w:val="000000"/>
          <w:sz w:val="24"/>
          <w:szCs w:val="24"/>
          <w:u w:val="none"/>
          <w:lang w:eastAsia="uk-UA"/>
        </w:rPr>
        <w:t xml:space="preserve"> грн. </w:t>
      </w:r>
      <w:r>
        <w:rPr>
          <w:rFonts w:ascii="Times New Roman" w:hAnsi="Times New Roman"/>
          <w:color w:val="000000"/>
          <w:sz w:val="24"/>
          <w:szCs w:val="24"/>
          <w:u w:val="none"/>
          <w:lang w:eastAsia="uk-UA"/>
        </w:rPr>
        <w:t>без ПДВ</w:t>
      </w:r>
    </w:p>
    <w:p>
      <w:pPr>
        <w:pStyle w:val="11"/>
        <w:tabs>
          <w:tab w:val="clear" w:pos="708"/>
          <w:tab w:val="left" w:pos="0" w:leader="none"/>
        </w:tabs>
        <w:ind w:hanging="0" w:left="0" w:right="-79"/>
        <w:rPr>
          <w:color w:val="000000"/>
        </w:rPr>
      </w:pPr>
      <w:r>
        <w:rPr>
          <w:color w:val="000000"/>
          <w:szCs w:val="24"/>
          <w:lang w:val="uk-UA"/>
        </w:rPr>
        <w:t>Очікувана вартість предмета  закупівлі визначена шляхом проведення моніторингу цін на підставі комерційних пропозицій, отриманих від суб’єктів господарювання.</w:t>
      </w:r>
    </w:p>
    <w:p>
      <w:pPr>
        <w:pStyle w:val="Normal"/>
        <w:shd w:val="clear" w:color="auto" w:fill="FFFFFF"/>
        <w:spacing w:before="0" w:after="0"/>
        <w:jc w:val="both"/>
        <w:rPr>
          <w:u w:val="none"/>
        </w:rPr>
      </w:pPr>
      <w:r>
        <w:rPr>
          <w:rFonts w:ascii="Times New Roman" w:hAnsi="Times New Roman"/>
          <w:b/>
          <w:bCs/>
          <w:color w:val="000000"/>
          <w:sz w:val="24"/>
          <w:szCs w:val="24"/>
          <w:u w:val="none"/>
          <w:lang w:eastAsia="uk-UA"/>
        </w:rPr>
        <w:t>Розмір бюджетного призначення:</w:t>
      </w:r>
      <w:r>
        <w:rPr>
          <w:rFonts w:ascii="Times New Roman" w:hAnsi="Times New Roman"/>
          <w:color w:val="000000"/>
          <w:sz w:val="24"/>
          <w:szCs w:val="24"/>
          <w:u w:val="none"/>
          <w:lang w:eastAsia="uk-UA"/>
        </w:rPr>
        <w:t> </w:t>
      </w:r>
      <w:r>
        <w:rPr>
          <w:rFonts w:ascii="Times New Roman" w:hAnsi="Times New Roman"/>
          <w:color w:val="000000"/>
          <w:sz w:val="24"/>
          <w:szCs w:val="24"/>
          <w:u w:val="none"/>
          <w:lang w:eastAsia="ru-RU"/>
        </w:rPr>
        <w:t>Власний бюджет (кошти від господарської діяльності підприємства)–</w:t>
      </w:r>
      <w:r>
        <w:rPr>
          <w:rFonts w:ascii="Times New Roman" w:hAnsi="Times New Roman"/>
          <w:color w:val="000000"/>
          <w:sz w:val="24"/>
          <w:szCs w:val="24"/>
          <w:u w:val="none"/>
          <w:lang w:eastAsia="uk-UA"/>
        </w:rPr>
        <w:t>29000,00</w:t>
      </w:r>
      <w:r>
        <w:rPr>
          <w:rFonts w:ascii="Times New Roman" w:hAnsi="Times New Roman"/>
          <w:color w:val="000000"/>
          <w:sz w:val="24"/>
          <w:szCs w:val="24"/>
          <w:u w:val="none"/>
          <w:lang w:eastAsia="ru-RU"/>
        </w:rPr>
        <w:t xml:space="preserve"> </w:t>
      </w:r>
      <w:r>
        <w:rPr>
          <w:rFonts w:ascii="Times New Roman" w:hAnsi="Times New Roman"/>
          <w:color w:val="000000"/>
          <w:sz w:val="24"/>
          <w:szCs w:val="24"/>
          <w:u w:val="none"/>
          <w:lang w:eastAsia="uk-UA"/>
        </w:rPr>
        <w:t xml:space="preserve"> грн.</w:t>
      </w:r>
    </w:p>
    <w:tbl>
      <w:tblPr>
        <w:tblW w:w="1930" w:type="dxa"/>
        <w:jc w:val="left"/>
        <w:tblInd w:w="75" w:type="dxa"/>
        <w:tblLayout w:type="fixed"/>
        <w:tblCellMar>
          <w:top w:w="0" w:type="dxa"/>
          <w:left w:w="0" w:type="dxa"/>
          <w:bottom w:w="0" w:type="dxa"/>
          <w:right w:w="0" w:type="dxa"/>
        </w:tblCellMar>
      </w:tblPr>
      <w:tblGrid>
        <w:gridCol w:w="1930"/>
      </w:tblGrid>
      <w:tr>
        <w:trPr/>
        <w:tc>
          <w:tcPr>
            <w:tcW w:w="1930" w:type="dxa"/>
            <w:tcBorders/>
            <w:vAlign w:val="center"/>
          </w:tcPr>
          <w:p>
            <w:pPr>
              <w:pStyle w:val="Style16"/>
              <w:spacing w:before="0" w:after="0"/>
              <w:ind w:hanging="0" w:left="0" w:right="0"/>
              <w:rPr>
                <w:color w:val="000000"/>
              </w:rPr>
            </w:pPr>
            <w:r>
              <w:rPr>
                <w:color w:val="000000"/>
              </w:rPr>
            </w:r>
          </w:p>
        </w:tc>
      </w:tr>
    </w:tbl>
    <w:p>
      <w:pPr>
        <w:pStyle w:val="11"/>
        <w:tabs>
          <w:tab w:val="clear" w:pos="708"/>
          <w:tab w:val="left" w:pos="0" w:leader="none"/>
        </w:tabs>
        <w:ind w:hanging="0" w:left="0" w:right="-79"/>
        <w:rPr>
          <w:color w:val="000000"/>
        </w:rPr>
      </w:pPr>
      <w:r>
        <w:rPr>
          <w:b/>
          <w:bCs/>
          <w:color w:val="000000"/>
          <w:szCs w:val="24"/>
          <w:lang w:eastAsia="uk-UA"/>
        </w:rPr>
        <w:t>Обґрунтування якісних та технічних характеристик. </w:t>
      </w:r>
      <w:r>
        <w:rPr>
          <w:bCs/>
          <w:color w:val="000000"/>
          <w:szCs w:val="24"/>
          <w:lang w:eastAsia="uk-UA"/>
        </w:rPr>
        <w:t xml:space="preserve">Строк </w:t>
      </w:r>
      <w:r>
        <w:rPr>
          <w:bCs/>
          <w:color w:val="000000"/>
          <w:szCs w:val="24"/>
          <w:lang w:val="uk-UA" w:eastAsia="uk-UA"/>
        </w:rPr>
        <w:t>поставки товару</w:t>
      </w:r>
      <w:r>
        <w:rPr>
          <w:bCs/>
          <w:color w:val="000000"/>
          <w:szCs w:val="24"/>
          <w:lang w:eastAsia="uk-UA"/>
        </w:rPr>
        <w:t>:</w:t>
      </w:r>
      <w:r>
        <w:rPr>
          <w:i/>
          <w:iCs/>
          <w:color w:val="000000"/>
          <w:szCs w:val="24"/>
          <w:lang w:eastAsia="uk-UA"/>
        </w:rPr>
        <w:t xml:space="preserve"> </w:t>
      </w:r>
      <w:r>
        <w:rPr>
          <w:color w:val="000000"/>
          <w:szCs w:val="24"/>
          <w:lang w:eastAsia="uk-UA"/>
        </w:rPr>
        <w:t> </w:t>
      </w:r>
      <w:r>
        <w:rPr>
          <w:b/>
          <w:bCs/>
          <w:color w:val="000000"/>
          <w:szCs w:val="24"/>
          <w:lang w:eastAsia="uk-UA"/>
        </w:rPr>
        <w:t xml:space="preserve">до </w:t>
      </w:r>
      <w:r>
        <w:rPr>
          <w:b/>
          <w:bCs/>
          <w:color w:val="000000"/>
          <w:szCs w:val="24"/>
          <w:lang w:val="uk-UA" w:eastAsia="uk-UA"/>
        </w:rPr>
        <w:t xml:space="preserve">31 грудня </w:t>
      </w:r>
      <w:r>
        <w:rPr>
          <w:b/>
          <w:bCs/>
          <w:color w:val="000000"/>
          <w:szCs w:val="24"/>
          <w:lang w:eastAsia="uk-UA"/>
        </w:rPr>
        <w:t>202</w:t>
      </w:r>
      <w:r>
        <w:rPr>
          <w:b/>
          <w:bCs/>
          <w:color w:val="000000"/>
          <w:szCs w:val="24"/>
          <w:lang w:val="uk-UA" w:eastAsia="uk-UA"/>
        </w:rPr>
        <w:t>4</w:t>
      </w:r>
      <w:r>
        <w:rPr>
          <w:b/>
          <w:bCs/>
          <w:color w:val="000000"/>
          <w:szCs w:val="24"/>
          <w:lang w:eastAsia="uk-UA"/>
        </w:rPr>
        <w:t xml:space="preserve"> року.</w:t>
      </w:r>
    </w:p>
    <w:p>
      <w:pPr>
        <w:pStyle w:val="11"/>
        <w:tabs>
          <w:tab w:val="clear" w:pos="708"/>
          <w:tab w:val="left" w:pos="0" w:leader="none"/>
        </w:tabs>
        <w:ind w:hanging="0" w:left="0" w:right="-79"/>
        <w:rPr>
          <w:b/>
          <w:bCs/>
          <w:szCs w:val="24"/>
          <w:lang w:eastAsia="uk-UA"/>
        </w:rPr>
      </w:pPr>
      <w:r>
        <w:rPr>
          <w:b/>
          <w:bCs/>
          <w:szCs w:val="24"/>
          <w:lang w:eastAsia="uk-UA"/>
        </w:rPr>
      </w:r>
    </w:p>
    <w:p>
      <w:pPr>
        <w:pStyle w:val="11"/>
        <w:tabs>
          <w:tab w:val="clear" w:pos="708"/>
          <w:tab w:val="left" w:pos="0" w:leader="none"/>
        </w:tabs>
        <w:ind w:hanging="0" w:left="0" w:right="-79"/>
        <w:rPr>
          <w:b/>
          <w:bCs/>
          <w:szCs w:val="24"/>
          <w:lang w:eastAsia="uk-UA"/>
        </w:rPr>
      </w:pPr>
      <w:r>
        <w:rPr>
          <w:b/>
          <w:bCs/>
          <w:szCs w:val="24"/>
          <w:lang w:eastAsia="uk-UA"/>
        </w:rPr>
      </w:r>
    </w:p>
    <w:p>
      <w:pPr>
        <w:pStyle w:val="Normal"/>
        <w:tabs>
          <w:tab w:val="clear" w:pos="708"/>
          <w:tab w:val="left" w:pos="284" w:leader="none"/>
        </w:tabs>
        <w:ind w:left="142"/>
        <w:jc w:val="both"/>
        <w:rPr>
          <w:rFonts w:ascii="Times New Roman" w:hAnsi="Times New Roman"/>
          <w:b/>
          <w:color w:val="000000"/>
          <w:sz w:val="24"/>
          <w:szCs w:val="24"/>
        </w:rPr>
      </w:pPr>
      <w:r>
        <w:rPr>
          <w:rFonts w:ascii="Times New Roman" w:hAnsi="Times New Roman"/>
          <w:b/>
          <w:color w:val="000000"/>
          <w:sz w:val="24"/>
          <w:szCs w:val="24"/>
        </w:rPr>
      </w:r>
    </w:p>
    <w:p>
      <w:pPr>
        <w:pStyle w:val="Normal"/>
        <w:spacing w:before="0" w:after="160"/>
        <w:contextualSpacing/>
        <w:jc w:val="center"/>
        <w:rPr>
          <w:rFonts w:ascii="Times New Roman" w:hAnsi="Times New Roman"/>
          <w:b/>
          <w:bCs/>
          <w:i/>
          <w:i/>
          <w:iCs/>
          <w:sz w:val="20"/>
          <w:szCs w:val="20"/>
          <w:lang w:val="uk-UA"/>
        </w:rPr>
      </w:pPr>
      <w:r>
        <w:rPr>
          <w:rFonts w:ascii="Times New Roman" w:hAnsi="Times New Roman"/>
          <w:b/>
          <w:bCs/>
          <w:sz w:val="24"/>
          <w:szCs w:val="24"/>
          <w:lang w:val="uk-UA"/>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lang w:val="uk-UA"/>
        </w:rPr>
        <w:t xml:space="preserve"> </w:t>
      </w:r>
    </w:p>
    <w:p>
      <w:pPr>
        <w:pStyle w:val="Cee1fbf7edfbe9"/>
        <w:jc w:val="both"/>
        <w:rPr>
          <w:sz w:val="22"/>
          <w:szCs w:val="22"/>
        </w:rPr>
      </w:pPr>
      <w:r>
        <w:rPr>
          <w:b/>
          <w:color w:val="auto"/>
          <w:sz w:val="22"/>
          <w:szCs w:val="22"/>
          <w:lang w:val="uk-UA"/>
        </w:rPr>
        <w:t>ДК 021:2015:  33190000-8  Медичне обладнання та вироби медичного призначення різні</w:t>
      </w:r>
    </w:p>
    <w:p>
      <w:pPr>
        <w:pStyle w:val="Normal"/>
        <w:spacing w:before="0" w:after="0"/>
        <w:rPr/>
      </w:pPr>
      <w:r>
        <w:rPr>
          <w:rFonts w:ascii="Times New Roman" w:hAnsi="Times New Roman"/>
          <w:lang w:val="uk-UA"/>
        </w:rPr>
        <w:t xml:space="preserve"> </w:t>
      </w:r>
      <w:r>
        <w:rPr>
          <w:rFonts w:ascii="Times New Roman" w:hAnsi="Times New Roman"/>
          <w:lang w:val="uk-UA"/>
        </w:rPr>
        <w:t>(61032 Кювета для лабораторного аналізатора IVD (діагностика in vitro ) одноразового використання;43845 Змішувач лабораторний стандартний)</w:t>
      </w:r>
    </w:p>
    <w:p>
      <w:pPr>
        <w:pStyle w:val="Normal"/>
        <w:spacing w:before="0" w:after="0"/>
        <w:rPr>
          <w:rFonts w:ascii="Times New Roman" w:hAnsi="Times New Roman"/>
          <w:lang w:val="uk-UA"/>
        </w:rPr>
      </w:pPr>
      <w:r>
        <w:rPr>
          <w:rFonts w:ascii="Times New Roman" w:hAnsi="Times New Roman"/>
          <w:lang w:val="uk-UA"/>
        </w:rPr>
      </w:r>
    </w:p>
    <w:p>
      <w:pPr>
        <w:pStyle w:val="Normal"/>
        <w:ind w:left="360"/>
        <w:jc w:val="center"/>
        <w:rPr>
          <w:rFonts w:ascii="Times New Roman" w:hAnsi="Times New Roman"/>
          <w:b/>
        </w:rPr>
      </w:pPr>
      <w:r>
        <w:rPr>
          <w:rFonts w:ascii="Times New Roman" w:hAnsi="Times New Roman"/>
          <w:b/>
        </w:rPr>
        <w:t>І. Загальні вимоги</w:t>
      </w:r>
    </w:p>
    <w:p>
      <w:pPr>
        <w:pStyle w:val="Normal"/>
        <w:jc w:val="both"/>
        <w:rPr>
          <w:rFonts w:ascii="Times New Roman" w:hAnsi="Times New Roman"/>
        </w:rPr>
      </w:pPr>
      <w:r>
        <w:rPr>
          <w:rFonts w:ascii="Times New Roman" w:hAnsi="Times New Roman"/>
          <w:color w:val="000000"/>
        </w:rPr>
        <w:t xml:space="preserve">1. Товар, запропонований Учасником, повинен бути внесений до Державного реєстру медичної техніки та виробів медичного призначення у передбаченому законодавством порядку та дозволений до застосування в медичній практиці на території України. (На підтвердження Учасник повинен надати копію(ї) свідоцтва про державну реєстрацію з додатками (за наявності) та, якщо це передбачено діючим законодавством України, декларацію відповідності </w:t>
      </w:r>
      <w:r>
        <w:rPr>
          <w:rFonts w:ascii="Times New Roman" w:hAnsi="Times New Roman"/>
        </w:rPr>
        <w:t xml:space="preserve">згiдно Технiчного регламенту  щодо медичних виробiв для дiагностики iп vitro затвердженого </w:t>
      </w:r>
      <w:r>
        <w:rPr>
          <w:rFonts w:ascii="Times New Roman" w:hAnsi="Times New Roman"/>
          <w:color w:val="000000"/>
        </w:rPr>
        <w:t xml:space="preserve">постановою Кабінету Міністрів України від 02.10.2013 № 754. </w:t>
      </w:r>
    </w:p>
    <w:p>
      <w:pPr>
        <w:pStyle w:val="Normal"/>
        <w:shd w:val="clear" w:color="auto" w:fill="FFFFFF"/>
        <w:ind w:right="-1"/>
        <w:jc w:val="both"/>
        <w:rPr>
          <w:rFonts w:ascii="Times New Roman" w:hAnsi="Times New Roman"/>
          <w:color w:val="000000"/>
          <w:lang w:val="uk-UA"/>
        </w:rPr>
      </w:pPr>
      <w:r>
        <w:rPr>
          <w:rFonts w:ascii="Times New Roman" w:hAnsi="Times New Roman"/>
          <w:color w:val="000000"/>
        </w:rPr>
        <w:t xml:space="preserve">2. З метою запобігання закупівлі фальсифікатів та дотримання гарантій на своєчасне постачання товару у кількості, якості та зі строками придатності, учасник надає оригінал гарантійного листа виробника (представництва, філії виробника, якщо їх відповідно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документацією конкурсних торгів та пропозицією учасника торгів. </w:t>
      </w:r>
    </w:p>
    <w:p>
      <w:pPr>
        <w:pStyle w:val="Normal"/>
        <w:spacing w:before="0" w:after="0"/>
        <w:rPr>
          <w:rFonts w:ascii="Times New Roman" w:hAnsi="Times New Roman"/>
          <w:sz w:val="20"/>
          <w:szCs w:val="20"/>
        </w:rPr>
      </w:pPr>
      <w:r>
        <w:rPr>
          <w:rFonts w:ascii="Times New Roman" w:hAnsi="Times New Roman"/>
          <w:sz w:val="20"/>
          <w:szCs w:val="20"/>
        </w:rPr>
      </w:r>
    </w:p>
    <w:tbl>
      <w:tblPr>
        <w:tblW w:w="9675" w:type="dxa"/>
        <w:jc w:val="left"/>
        <w:tblInd w:w="-153" w:type="dxa"/>
        <w:tblLayout w:type="fixed"/>
        <w:tblCellMar>
          <w:top w:w="0" w:type="dxa"/>
          <w:left w:w="108" w:type="dxa"/>
          <w:bottom w:w="0" w:type="dxa"/>
          <w:right w:w="108" w:type="dxa"/>
        </w:tblCellMar>
        <w:tblLook w:firstRow="0" w:noVBand="0" w:lastRow="0" w:firstColumn="0" w:lastColumn="0" w:noHBand="0" w:val="0000"/>
      </w:tblPr>
      <w:tblGrid>
        <w:gridCol w:w="2265"/>
        <w:gridCol w:w="2703"/>
        <w:gridCol w:w="3060"/>
        <w:gridCol w:w="984"/>
        <w:gridCol w:w="663"/>
      </w:tblGrid>
      <w:tr>
        <w:trPr>
          <w:trHeight w:val="567" w:hRule="atLeast"/>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jc w:val="center"/>
              <w:rPr>
                <w:rFonts w:ascii="Times New Roman" w:hAnsi="Times New Roman" w:eastAsia="Times New Roman"/>
                <w:b/>
                <w:sz w:val="16"/>
                <w:szCs w:val="16"/>
                <w:lang w:val="uk-UA" w:eastAsia="uk-UA"/>
              </w:rPr>
            </w:pPr>
            <w:bookmarkStart w:id="3" w:name="_GoBack_Copy_2"/>
            <w:bookmarkEnd w:id="3"/>
            <w:r>
              <w:rPr>
                <w:rFonts w:eastAsia="Times New Roman" w:ascii="Times New Roman" w:hAnsi="Times New Roman"/>
                <w:b/>
                <w:sz w:val="16"/>
                <w:szCs w:val="16"/>
                <w:lang w:val="uk-UA" w:eastAsia="uk-UA"/>
              </w:rPr>
              <w:t>НК 024:2023</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jc w:val="center"/>
              <w:rPr>
                <w:rFonts w:ascii="Times New Roman" w:hAnsi="Times New Roman" w:eastAsia="Times New Roman"/>
                <w:b/>
                <w:sz w:val="16"/>
                <w:szCs w:val="16"/>
                <w:lang w:val="uk-UA" w:eastAsia="uk-UA"/>
              </w:rPr>
            </w:pPr>
            <w:r>
              <w:rPr>
                <w:rFonts w:eastAsia="Times New Roman" w:ascii="Times New Roman" w:hAnsi="Times New Roman"/>
                <w:b/>
                <w:sz w:val="16"/>
                <w:szCs w:val="16"/>
                <w:lang w:val="uk-UA" w:eastAsia="uk-UA"/>
              </w:rPr>
              <w:t>Найменування товару/ Вимоги Замовника</w:t>
            </w:r>
          </w:p>
          <w:p>
            <w:pPr>
              <w:pStyle w:val="Normal"/>
              <w:suppressAutoHyphens w:val="false"/>
              <w:spacing w:lineRule="auto" w:line="240" w:before="0" w:after="0"/>
              <w:jc w:val="center"/>
              <w:rPr>
                <w:rFonts w:ascii="Times New Roman" w:hAnsi="Times New Roman" w:eastAsia="Times New Roman"/>
                <w:b/>
                <w:sz w:val="16"/>
                <w:szCs w:val="16"/>
                <w:lang w:val="uk-UA" w:eastAsia="uk-UA"/>
              </w:rPr>
            </w:pPr>
            <w:r>
              <w:rPr>
                <w:rFonts w:eastAsia="Times New Roman" w:ascii="Times New Roman" w:hAnsi="Times New Roman"/>
                <w:b/>
                <w:sz w:val="16"/>
                <w:szCs w:val="16"/>
                <w:lang w:val="uk-UA" w:eastAsia="uk-UA"/>
              </w:rPr>
            </w:r>
          </w:p>
        </w:tc>
        <w:tc>
          <w:tcPr>
            <w:tcW w:w="3060"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jc w:val="center"/>
              <w:rPr>
                <w:rFonts w:ascii="Times New Roman" w:hAnsi="Times New Roman" w:eastAsia="Times New Roman"/>
                <w:b/>
                <w:sz w:val="16"/>
                <w:szCs w:val="16"/>
                <w:lang w:val="uk-UA" w:eastAsia="uk-UA"/>
              </w:rPr>
            </w:pPr>
            <w:r>
              <w:rPr>
                <w:rFonts w:ascii="Times New Roman" w:hAnsi="Times New Roman"/>
                <w:b/>
                <w:sz w:val="16"/>
                <w:szCs w:val="16"/>
              </w:rPr>
              <w:t>Медико-технічні вимоги</w:t>
            </w:r>
          </w:p>
        </w:tc>
        <w:tc>
          <w:tcPr>
            <w:tcW w:w="984"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jc w:val="center"/>
              <w:rPr>
                <w:rFonts w:ascii="Times New Roman" w:hAnsi="Times New Roman" w:eastAsia="Times New Roman"/>
                <w:b/>
                <w:sz w:val="16"/>
                <w:szCs w:val="16"/>
                <w:lang w:val="uk-UA" w:eastAsia="uk-UA"/>
              </w:rPr>
            </w:pPr>
            <w:r>
              <w:rPr>
                <w:rFonts w:eastAsia="Times New Roman" w:ascii="Times New Roman" w:hAnsi="Times New Roman"/>
                <w:b/>
                <w:sz w:val="16"/>
                <w:szCs w:val="16"/>
                <w:lang w:val="uk-UA" w:eastAsia="uk-UA"/>
              </w:rPr>
              <w:t>Од. виміру</w:t>
            </w:r>
          </w:p>
        </w:tc>
        <w:tc>
          <w:tcPr>
            <w:tcW w:w="663" w:type="dxa"/>
            <w:tcBorders>
              <w:top w:val="single" w:sz="4" w:space="0" w:color="000000"/>
              <w:left w:val="single" w:sz="4" w:space="0" w:color="000000"/>
              <w:bottom w:val="single" w:sz="4" w:space="0" w:color="000000"/>
              <w:right w:val="single" w:sz="4" w:space="0" w:color="000000"/>
            </w:tcBorders>
          </w:tcPr>
          <w:p>
            <w:pPr>
              <w:pStyle w:val="Normal"/>
              <w:suppressAutoHyphens w:val="false"/>
              <w:spacing w:lineRule="auto" w:line="240" w:before="0" w:after="0"/>
              <w:jc w:val="center"/>
              <w:rPr>
                <w:rFonts w:ascii="Times New Roman" w:hAnsi="Times New Roman" w:eastAsia="Times New Roman"/>
                <w:b/>
                <w:sz w:val="16"/>
                <w:szCs w:val="16"/>
                <w:lang w:val="uk-UA" w:eastAsia="uk-UA"/>
              </w:rPr>
            </w:pPr>
            <w:r>
              <w:rPr>
                <w:rFonts w:eastAsia="Times New Roman" w:ascii="Times New Roman" w:hAnsi="Times New Roman"/>
                <w:b/>
                <w:sz w:val="16"/>
                <w:szCs w:val="16"/>
                <w:lang w:val="uk-UA" w:eastAsia="uk-UA"/>
              </w:rPr>
              <w:t>Кількість</w:t>
            </w:r>
          </w:p>
        </w:tc>
      </w:tr>
      <w:tr>
        <w:trPr>
          <w:trHeight w:val="1351" w:hRule="atLeast"/>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rPr>
                <w:rFonts w:ascii="Times New Roman" w:hAnsi="Times New Roman"/>
                <w:sz w:val="16"/>
                <w:szCs w:val="16"/>
              </w:rPr>
            </w:pPr>
            <w:r>
              <w:rPr>
                <w:rFonts w:ascii="Times New Roman" w:hAnsi="Times New Roman"/>
                <w:sz w:val="16"/>
                <w:szCs w:val="16"/>
              </w:rPr>
              <w:t>61032 Кювета для лабораторного аналізатора IVD  (діагностика in vitro ) одноразового використання</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color w:val="000000"/>
                <w:sz w:val="16"/>
                <w:szCs w:val="16"/>
              </w:rPr>
            </w:pPr>
            <w:r>
              <w:rPr>
                <w:rFonts w:ascii="Times New Roman" w:hAnsi="Times New Roman"/>
                <w:color w:val="000000"/>
                <w:sz w:val="16"/>
                <w:szCs w:val="16"/>
              </w:rPr>
              <w:t>Мікрокювети (CL-2000, CL-2000B)</w:t>
            </w:r>
          </w:p>
        </w:tc>
        <w:tc>
          <w:tcPr>
            <w:tcW w:w="306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16"/>
                <w:szCs w:val="16"/>
                <w:lang w:val="uk-UA"/>
              </w:rPr>
            </w:pPr>
            <w:r>
              <w:rPr>
                <w:rFonts w:ascii="Times New Roman" w:hAnsi="Times New Roman"/>
                <w:sz w:val="16"/>
                <w:szCs w:val="16"/>
              </w:rPr>
              <w:t xml:space="preserve">Кювети, що призначені для використання на коагулометрах серії </w:t>
            </w:r>
            <w:r>
              <w:rPr>
                <w:rFonts w:ascii="Times New Roman" w:hAnsi="Times New Roman"/>
                <w:sz w:val="16"/>
                <w:szCs w:val="16"/>
                <w:lang w:val="en-US"/>
              </w:rPr>
              <w:t>CL</w:t>
            </w:r>
            <w:r>
              <w:rPr>
                <w:rFonts w:ascii="Times New Roman" w:hAnsi="Times New Roman"/>
                <w:sz w:val="16"/>
                <w:szCs w:val="16"/>
              </w:rPr>
              <w:t xml:space="preserve"> виробника </w:t>
            </w:r>
            <w:r>
              <w:rPr>
                <w:rFonts w:ascii="Times New Roman" w:hAnsi="Times New Roman"/>
                <w:sz w:val="16"/>
                <w:szCs w:val="16"/>
                <w:lang w:val="en-US"/>
              </w:rPr>
              <w:t>SINNOWA</w:t>
            </w:r>
            <w:r>
              <w:rPr>
                <w:rFonts w:ascii="Times New Roman" w:hAnsi="Times New Roman"/>
                <w:sz w:val="16"/>
                <w:szCs w:val="16"/>
              </w:rPr>
              <w:t xml:space="preserve"> (моделі CL-2000, CL-2000В).</w:t>
            </w:r>
          </w:p>
          <w:p>
            <w:pPr>
              <w:pStyle w:val="Normal"/>
              <w:rPr>
                <w:rFonts w:ascii="Times New Roman" w:hAnsi="Times New Roman"/>
                <w:sz w:val="16"/>
                <w:szCs w:val="16"/>
                <w:lang w:val="uk-UA"/>
              </w:rPr>
            </w:pPr>
            <w:r>
              <w:rPr>
                <w:rFonts w:ascii="Times New Roman" w:hAnsi="Times New Roman"/>
                <w:sz w:val="16"/>
                <w:szCs w:val="16"/>
              </w:rPr>
              <w:t>Фасування: 100 штук в упаковці.</w:t>
            </w:r>
          </w:p>
          <w:p>
            <w:pPr>
              <w:pStyle w:val="Normal"/>
              <w:spacing w:before="0" w:after="200"/>
              <w:ind w:hanging="284" w:left="-1687"/>
              <w:rPr>
                <w:rFonts w:ascii="Times New Roman" w:hAnsi="Times New Roman"/>
                <w:sz w:val="16"/>
                <w:szCs w:val="16"/>
                <w:lang w:val="uk-UA"/>
              </w:rPr>
            </w:pPr>
            <w:r>
              <w:rPr>
                <w:rFonts w:ascii="Times New Roman" w:hAnsi="Times New Roman"/>
                <w:sz w:val="16"/>
                <w:szCs w:val="16"/>
              </w:rPr>
              <w:t>Фасування: 100 штук в</w:t>
            </w:r>
          </w:p>
        </w:tc>
        <w:tc>
          <w:tcPr>
            <w:tcW w:w="984" w:type="dxa"/>
            <w:tcBorders>
              <w:top w:val="single" w:sz="4" w:space="0" w:color="000000"/>
              <w:left w:val="single" w:sz="4" w:space="0" w:color="000000"/>
              <w:bottom w:val="single" w:sz="4" w:space="0" w:color="000000"/>
              <w:right w:val="single" w:sz="4" w:space="0" w:color="000000"/>
            </w:tcBorders>
            <w:vAlign w:val="center"/>
          </w:tcPr>
          <w:p>
            <w:pPr>
              <w:pStyle w:val="Normal"/>
              <w:ind w:hanging="284" w:left="-1687"/>
              <w:jc w:val="center"/>
              <w:rPr>
                <w:rFonts w:ascii="Times New Roman" w:hAnsi="Times New Roman"/>
                <w:sz w:val="16"/>
                <w:szCs w:val="16"/>
                <w:lang w:val="uk-UA"/>
              </w:rPr>
            </w:pPr>
            <w:r>
              <w:rPr>
                <w:rFonts w:ascii="Times New Roman" w:hAnsi="Times New Roman"/>
                <w:sz w:val="16"/>
                <w:szCs w:val="16"/>
                <w:lang w:val="uk-UA"/>
              </w:rPr>
              <w:t>штшшшш</w:t>
            </w:r>
          </w:p>
          <w:p>
            <w:pPr>
              <w:pStyle w:val="Normal"/>
              <w:spacing w:before="0" w:after="200"/>
              <w:jc w:val="center"/>
              <w:rPr>
                <w:rFonts w:ascii="Times New Roman" w:hAnsi="Times New Roman"/>
                <w:sz w:val="16"/>
                <w:szCs w:val="16"/>
                <w:lang w:val="uk-UA"/>
              </w:rPr>
            </w:pPr>
            <w:r>
              <w:rPr>
                <w:rFonts w:ascii="Times New Roman" w:hAnsi="Times New Roman"/>
                <w:sz w:val="16"/>
                <w:szCs w:val="16"/>
                <w:lang w:val="uk-UA"/>
              </w:rPr>
              <w:t>шт</w:t>
            </w:r>
          </w:p>
        </w:tc>
        <w:tc>
          <w:tcPr>
            <w:tcW w:w="6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olor w:val="000000"/>
                <w:sz w:val="16"/>
                <w:szCs w:val="16"/>
                <w:lang w:val="uk-UA"/>
              </w:rPr>
            </w:pPr>
            <w:r>
              <w:rPr>
                <w:rFonts w:ascii="Times New Roman" w:hAnsi="Times New Roman"/>
                <w:color w:val="000000"/>
                <w:sz w:val="16"/>
                <w:szCs w:val="16"/>
                <w:lang w:val="uk-UA"/>
              </w:rPr>
              <w:t>3000</w:t>
            </w:r>
          </w:p>
        </w:tc>
      </w:tr>
      <w:tr>
        <w:trPr>
          <w:trHeight w:val="244" w:hRule="atLeast"/>
        </w:trPr>
        <w:tc>
          <w:tcPr>
            <w:tcW w:w="2265" w:type="dxa"/>
            <w:tcBorders>
              <w:top w:val="single" w:sz="4" w:space="0" w:color="000000"/>
              <w:left w:val="single" w:sz="4" w:space="0" w:color="000000"/>
              <w:bottom w:val="single" w:sz="4" w:space="0" w:color="000000"/>
              <w:right w:val="single" w:sz="4" w:space="0" w:color="000000"/>
            </w:tcBorders>
            <w:vAlign w:val="center"/>
          </w:tcPr>
          <w:p>
            <w:pPr>
              <w:pStyle w:val="Normal"/>
              <w:suppressAutoHyphens w:val="false"/>
              <w:spacing w:lineRule="auto" w:line="240" w:before="0" w:after="0"/>
              <w:rPr>
                <w:rFonts w:ascii="Times New Roman" w:hAnsi="Times New Roman"/>
                <w:sz w:val="16"/>
                <w:szCs w:val="16"/>
              </w:rPr>
            </w:pPr>
            <w:r>
              <w:rPr>
                <w:rFonts w:ascii="Times New Roman" w:hAnsi="Times New Roman"/>
                <w:sz w:val="16"/>
                <w:szCs w:val="16"/>
              </w:rPr>
              <w:t>43845 Змішувач лабораторний стандартний</w:t>
            </w:r>
          </w:p>
        </w:tc>
        <w:tc>
          <w:tcPr>
            <w:tcW w:w="270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Times New Roman" w:hAnsi="Times New Roman"/>
                <w:color w:val="000000"/>
                <w:sz w:val="16"/>
                <w:szCs w:val="16"/>
              </w:rPr>
            </w:pPr>
            <w:r>
              <w:rPr>
                <w:rFonts w:ascii="Times New Roman" w:hAnsi="Times New Roman"/>
                <w:color w:val="000000"/>
                <w:sz w:val="16"/>
                <w:szCs w:val="16"/>
              </w:rPr>
              <w:t>Змішувальна лопатка для CL</w:t>
            </w:r>
          </w:p>
        </w:tc>
        <w:tc>
          <w:tcPr>
            <w:tcW w:w="306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sz w:val="16"/>
                <w:szCs w:val="16"/>
              </w:rPr>
            </w:pPr>
            <w:r>
              <w:rPr>
                <w:rFonts w:ascii="Times New Roman" w:hAnsi="Times New Roman"/>
                <w:sz w:val="16"/>
                <w:szCs w:val="16"/>
              </w:rPr>
              <w:t xml:space="preserve">Мішалки для кювет, що призначені для використання на коагулометрах серії </w:t>
            </w:r>
            <w:r>
              <w:rPr>
                <w:rFonts w:ascii="Times New Roman" w:hAnsi="Times New Roman"/>
                <w:sz w:val="16"/>
                <w:szCs w:val="16"/>
                <w:lang w:val="en-US"/>
              </w:rPr>
              <w:t>CL</w:t>
            </w:r>
            <w:r>
              <w:rPr>
                <w:rFonts w:ascii="Times New Roman" w:hAnsi="Times New Roman"/>
                <w:sz w:val="16"/>
                <w:szCs w:val="16"/>
              </w:rPr>
              <w:t xml:space="preserve"> виробника </w:t>
            </w:r>
            <w:r>
              <w:rPr>
                <w:rFonts w:ascii="Times New Roman" w:hAnsi="Times New Roman"/>
                <w:sz w:val="16"/>
                <w:szCs w:val="16"/>
                <w:lang w:val="en-US"/>
              </w:rPr>
              <w:t>SINNOWA</w:t>
            </w:r>
            <w:r>
              <w:rPr>
                <w:rFonts w:ascii="Times New Roman" w:hAnsi="Times New Roman"/>
                <w:sz w:val="16"/>
                <w:szCs w:val="16"/>
              </w:rPr>
              <w:t xml:space="preserve"> (моделі CL-2000, CL-2000В).</w:t>
            </w:r>
          </w:p>
          <w:p>
            <w:pPr>
              <w:pStyle w:val="Normal"/>
              <w:spacing w:before="0" w:after="200"/>
              <w:rPr>
                <w:rFonts w:ascii="Times New Roman" w:hAnsi="Times New Roman"/>
                <w:sz w:val="16"/>
                <w:szCs w:val="16"/>
              </w:rPr>
            </w:pPr>
            <w:r>
              <w:rPr>
                <w:rFonts w:ascii="Times New Roman" w:hAnsi="Times New Roman"/>
                <w:sz w:val="16"/>
                <w:szCs w:val="16"/>
              </w:rPr>
              <w:t>Фасування: 100 штук в упаковці.</w:t>
            </w:r>
          </w:p>
        </w:tc>
        <w:tc>
          <w:tcPr>
            <w:tcW w:w="984"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center"/>
              <w:rPr>
                <w:rFonts w:ascii="Times New Roman" w:hAnsi="Times New Roman"/>
                <w:sz w:val="16"/>
                <w:szCs w:val="16"/>
                <w:lang w:val="uk-UA"/>
              </w:rPr>
            </w:pPr>
            <w:r>
              <w:rPr>
                <w:rFonts w:ascii="Times New Roman" w:hAnsi="Times New Roman"/>
                <w:sz w:val="16"/>
                <w:szCs w:val="16"/>
                <w:lang w:val="uk-UA"/>
              </w:rPr>
              <w:t>шт</w:t>
            </w:r>
          </w:p>
        </w:tc>
        <w:tc>
          <w:tcPr>
            <w:tcW w:w="66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jc w:val="center"/>
              <w:rPr>
                <w:rFonts w:ascii="Times New Roman" w:hAnsi="Times New Roman"/>
                <w:color w:val="000000"/>
                <w:sz w:val="16"/>
                <w:szCs w:val="16"/>
                <w:lang w:val="uk-UA"/>
              </w:rPr>
            </w:pPr>
            <w:r>
              <w:rPr>
                <w:rFonts w:ascii="Times New Roman" w:hAnsi="Times New Roman"/>
                <w:color w:val="000000"/>
                <w:sz w:val="16"/>
                <w:szCs w:val="16"/>
                <w:lang w:val="uk-UA"/>
              </w:rPr>
              <w:t>3000</w:t>
            </w:r>
          </w:p>
        </w:tc>
      </w:tr>
    </w:tbl>
    <w:p>
      <w:pPr>
        <w:pStyle w:val="Normal"/>
        <w:suppressAutoHyphens w:val="false"/>
        <w:spacing w:lineRule="auto" w:line="240" w:before="0" w:after="0"/>
        <w:ind w:firstLine="720"/>
        <w:jc w:val="both"/>
        <w:rPr>
          <w:rFonts w:ascii="Times New Roman" w:hAnsi="Times New Roman" w:eastAsia="Times New Roman"/>
          <w:sz w:val="24"/>
          <w:szCs w:val="24"/>
          <w:lang w:val="uk-UA" w:eastAsia="uk-UA"/>
        </w:rPr>
      </w:pPr>
      <w:r>
        <w:rPr>
          <w:rFonts w:eastAsia="Times New Roman" w:ascii="Times New Roman" w:hAnsi="Times New Roman"/>
          <w:sz w:val="24"/>
          <w:szCs w:val="24"/>
          <w:lang w:val="uk-UA" w:eastAsia="uk-UA"/>
        </w:rPr>
      </w:r>
    </w:p>
    <w:p>
      <w:pPr>
        <w:pStyle w:val="Normal"/>
        <w:jc w:val="right"/>
        <w:rPr>
          <w:rFonts w:ascii="Times New Roman" w:hAnsi="Times New Roman"/>
          <w:b/>
          <w:bCs/>
          <w:sz w:val="24"/>
          <w:szCs w:val="24"/>
          <w:lang w:val="uk-UA"/>
        </w:rPr>
      </w:pPr>
      <w:r>
        <w:rPr>
          <w:rFonts w:ascii="Times New Roman" w:hAnsi="Times New Roman"/>
          <w:b/>
          <w:bCs/>
          <w:sz w:val="24"/>
          <w:szCs w:val="24"/>
          <w:lang w:val="uk-UA"/>
        </w:rPr>
      </w:r>
    </w:p>
    <w:p>
      <w:pPr>
        <w:pStyle w:val="Normal"/>
        <w:jc w:val="right"/>
        <w:rPr>
          <w:rFonts w:ascii="Times New Roman" w:hAnsi="Times New Roman"/>
          <w:b/>
          <w:bCs/>
          <w:sz w:val="24"/>
          <w:szCs w:val="24"/>
          <w:lang w:val="uk-UA"/>
        </w:rPr>
      </w:pPr>
      <w:r>
        <w:rPr>
          <w:rFonts w:ascii="Times New Roman" w:hAnsi="Times New Roman"/>
          <w:b/>
          <w:bCs/>
          <w:sz w:val="24"/>
          <w:szCs w:val="24"/>
          <w:lang w:val="uk-UA"/>
        </w:rPr>
      </w:r>
    </w:p>
    <w:p>
      <w:pPr>
        <w:pStyle w:val="Normal"/>
        <w:spacing w:before="0" w:after="160"/>
        <w:jc w:val="right"/>
        <w:rPr>
          <w:rFonts w:ascii="Times New Roman" w:hAnsi="Times New Roman"/>
          <w:b/>
          <w:bCs/>
          <w:sz w:val="24"/>
          <w:szCs w:val="24"/>
          <w:lang w:val="uk-UA"/>
        </w:rPr>
      </w:pPr>
      <w:r>
        <w:rPr>
          <w:rFonts w:ascii="Times New Roman" w:hAnsi="Times New Roman"/>
          <w:b/>
          <w:bCs/>
          <w:sz w:val="24"/>
          <w:szCs w:val="24"/>
          <w:lang w:val="uk-UA"/>
        </w:rPr>
      </w:r>
    </w:p>
    <w:sectPr>
      <w:type w:val="nextPage"/>
      <w:pgSz w:w="11906" w:h="16838"/>
      <w:pgMar w:left="1701"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4233"/>
    <w:pPr>
      <w:widowControl/>
      <w:suppressAutoHyphens w:val="true"/>
      <w:bidi w:val="0"/>
      <w:spacing w:lineRule="auto" w:line="252" w:before="0" w:after="160"/>
      <w:jc w:val="left"/>
    </w:pPr>
    <w:rPr>
      <w:rFonts w:ascii="Calibri" w:hAnsi="Calibri" w:eastAsia="Calibri" w:cs="Times New Roman"/>
      <w:color w:val="auto"/>
      <w:kern w:val="0"/>
      <w:sz w:val="20"/>
      <w:szCs w:val="20"/>
      <w:lang w:val="uk-UA" w:eastAsia="en-US" w:bidi="ar-SA"/>
      <w14:ligatures w14:val="none"/>
    </w:rPr>
  </w:style>
  <w:style w:type="paragraph" w:styleId="Heading1">
    <w:name w:val="Heading 1"/>
    <w:basedOn w:val="Style14"/>
    <w:next w:val="BodyText"/>
    <w:qFormat/>
    <w:pPr>
      <w:spacing w:before="240" w:after="120"/>
      <w:outlineLvl w:val="0"/>
    </w:pPr>
    <w:rPr>
      <w:rFonts w:ascii="Liberation Serif" w:hAnsi="Liberation Serif" w:eastAsia="Segoe UI" w:cs="Tahoma"/>
      <w:b/>
      <w:bCs/>
      <w:sz w:val="48"/>
      <w:szCs w:val="48"/>
    </w:rPr>
  </w:style>
  <w:style w:type="paragraph" w:styleId="Heading4">
    <w:name w:val="Heading 4"/>
    <w:basedOn w:val="Normal"/>
    <w:next w:val="BodyText"/>
    <w:qFormat/>
    <w:pPr>
      <w:keepNext w:val="true"/>
      <w:keepLines/>
      <w:widowControl w:val="false"/>
      <w:numPr>
        <w:ilvl w:val="3"/>
        <w:numId w:val="1"/>
      </w:numPr>
      <w:spacing w:before="240" w:after="40"/>
      <w:ind w:hanging="864" w:left="864" w:right="0"/>
      <w:contextualSpacing/>
      <w:outlineLvl w:val="3"/>
    </w:pPr>
    <w:rPr>
      <w:rFonts w:cs="Times New Roman"/>
      <w:b/>
      <w:szCs w:val="20"/>
      <w:lang w:bidi="ar-SA"/>
    </w:rPr>
  </w:style>
  <w:style w:type="character" w:styleId="DefaultParagraphFont" w:default="1">
    <w:name w:val="Default Paragraph Font"/>
    <w:uiPriority w:val="1"/>
    <w:semiHidden/>
    <w:unhideWhenUsed/>
    <w:qFormat/>
    <w:rPr/>
  </w:style>
  <w:style w:type="character" w:styleId="Style12" w:customStyle="1">
    <w:name w:val="Заголовок Знак"/>
    <w:basedOn w:val="DefaultParagraphFont"/>
    <w:uiPriority w:val="99"/>
    <w:qFormat/>
    <w:rsid w:val="001b4233"/>
    <w:rPr>
      <w:rFonts w:ascii="Calibri Light" w:hAnsi="Calibri Light" w:eastAsia="Times New Roman" w:cs="Times New Roman"/>
      <w:spacing w:val="-10"/>
      <w:kern w:val="2"/>
      <w:sz w:val="56"/>
      <w:szCs w:val="56"/>
      <w:lang w:val="uk-UA"/>
      <w14:ligatures w14:val="none"/>
    </w:rPr>
  </w:style>
  <w:style w:type="character" w:styleId="Strong">
    <w:name w:val="Strong"/>
    <w:qFormat/>
    <w:rsid w:val="001b4233"/>
    <w:rPr>
      <w:b/>
      <w:bCs w:val="false"/>
    </w:rPr>
  </w:style>
  <w:style w:type="character" w:styleId="Style13" w:customStyle="1">
    <w:name w:val="Абзац списка Знак"/>
    <w:link w:val="ListParagraph"/>
    <w:uiPriority w:val="34"/>
    <w:qFormat/>
    <w:locked/>
    <w:rsid w:val="001b4233"/>
    <w:rPr/>
  </w:style>
  <w:style w:type="character" w:styleId="Emphasis">
    <w:name w:val="Emphasis"/>
    <w:qFormat/>
    <w:rPr>
      <w:i/>
      <w:iCs/>
    </w:rPr>
  </w:style>
  <w:style w:type="character" w:styleId="1">
    <w:name w:val="Заголовок 1 Знак"/>
    <w:basedOn w:val="DefaultParagraphFont"/>
    <w:qFormat/>
    <w:rPr>
      <w:rFonts w:ascii="Calibri" w:hAnsi="Calibri" w:eastAsia="Calibri" w:cs="Calibri"/>
      <w:b/>
      <w:kern w:val="0"/>
      <w:sz w:val="48"/>
      <w:szCs w:val="48"/>
      <w:lang w:val="uk-UA" w:eastAsia="uk-UA"/>
      <w14:ligatures w14:val="none"/>
    </w:rPr>
  </w:style>
  <w:style w:type="character" w:styleId="Y2iqfc">
    <w:name w:val="y2iqfc"/>
    <w:basedOn w:val="DefaultParagraphFont"/>
    <w:qFormat/>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Title">
    <w:name w:val="Title"/>
    <w:basedOn w:val="Normal"/>
    <w:next w:val="Normal"/>
    <w:link w:val="Style12"/>
    <w:uiPriority w:val="99"/>
    <w:qFormat/>
    <w:rsid w:val="001b4233"/>
    <w:pPr>
      <w:spacing w:lineRule="auto" w:line="240" w:before="0" w:after="0"/>
      <w:contextualSpacing/>
    </w:pPr>
    <w:rPr>
      <w:rFonts w:ascii="Calibri Light" w:hAnsi="Calibri Light" w:eastAsia="Times New Roman"/>
      <w:spacing w:val="-10"/>
      <w:kern w:val="2"/>
      <w:sz w:val="56"/>
      <w:szCs w:val="56"/>
    </w:rPr>
  </w:style>
  <w:style w:type="paragraph" w:styleId="11" w:customStyle="1">
    <w:name w:val="Цитата1"/>
    <w:basedOn w:val="Normal"/>
    <w:uiPriority w:val="99"/>
    <w:qFormat/>
    <w:rsid w:val="001b4233"/>
    <w:pPr>
      <w:suppressAutoHyphens w:val="true"/>
      <w:spacing w:lineRule="auto" w:line="240" w:before="0" w:after="0"/>
      <w:ind w:firstLine="436" w:left="284" w:right="-58"/>
      <w:jc w:val="both"/>
    </w:pPr>
    <w:rPr>
      <w:rFonts w:ascii="Times New Roman" w:hAnsi="Times New Roman" w:eastAsia="Times New Roman"/>
      <w:sz w:val="24"/>
      <w:lang w:val="ru-RU" w:eastAsia="ar-SA"/>
    </w:rPr>
  </w:style>
  <w:style w:type="paragraph" w:styleId="ListParagraph">
    <w:name w:val="List Paragraph"/>
    <w:basedOn w:val="Normal"/>
    <w:link w:val="Style13"/>
    <w:uiPriority w:val="34"/>
    <w:qFormat/>
    <w:rsid w:val="001b4233"/>
    <w:pPr>
      <w:spacing w:lineRule="auto" w:line="252" w:before="0" w:after="160"/>
      <w:ind w:left="720"/>
      <w:contextualSpacing/>
    </w:pPr>
    <w:rPr>
      <w:rFonts w:ascii="Calibri" w:hAnsi="Calibri" w:eastAsia="Calibri" w:cs="" w:asciiTheme="minorHAnsi" w:cstheme="minorBidi" w:eastAsiaTheme="minorHAnsi" w:hAnsiTheme="minorHAnsi"/>
      <w:kern w:val="2"/>
      <w:sz w:val="22"/>
      <w:szCs w:val="22"/>
      <w:lang w:val="ru-RU"/>
      <w14:ligatures w14:val="standardContextual"/>
    </w:rPr>
  </w:style>
  <w:style w:type="paragraph" w:styleId="Style16">
    <w:name w:val="Вміст таблиці"/>
    <w:basedOn w:val="Normal"/>
    <w:qFormat/>
    <w:pPr>
      <w:widowControl w:val="false"/>
      <w:suppressLineNumbers/>
    </w:pPr>
    <w:rPr/>
  </w:style>
  <w:style w:type="paragraph" w:styleId="Style17">
    <w:name w:val="Заголовок таблиці"/>
    <w:basedOn w:val="Style16"/>
    <w:qFormat/>
    <w:pPr>
      <w:suppressLineNumbers/>
      <w:jc w:val="center"/>
    </w:pPr>
    <w:rPr>
      <w:b/>
      <w:bCs/>
    </w:rPr>
  </w:style>
  <w:style w:type="paragraph" w:styleId="Style18">
    <w:name w:val="Верхній і нижній колонтитули"/>
    <w:basedOn w:val="Normal"/>
    <w:qFormat/>
    <w:pPr/>
    <w:rPr/>
  </w:style>
  <w:style w:type="paragraph" w:styleId="Footer">
    <w:name w:val="Footer"/>
    <w:basedOn w:val="Normal"/>
    <w:pPr>
      <w:tabs>
        <w:tab w:val="clear" w:pos="708"/>
        <w:tab w:val="center" w:pos="4677" w:leader="none"/>
        <w:tab w:val="right" w:pos="9355" w:leader="none"/>
      </w:tabs>
    </w:pPr>
    <w:rPr>
      <w:lang w:val="ru-RU"/>
    </w:rPr>
  </w:style>
  <w:style w:type="paragraph" w:styleId="NormalWeb">
    <w:name w:val="Normal (Web)"/>
    <w:basedOn w:val="Normal"/>
    <w:qFormat/>
    <w:pPr>
      <w:spacing w:before="280" w:after="280"/>
    </w:pPr>
    <w:rPr>
      <w:lang w:val="ru-RU" w:eastAsia="zh-CN"/>
    </w:rPr>
  </w:style>
  <w:style w:type="paragraph" w:styleId="12">
    <w:name w:val="Абзац списка1"/>
    <w:basedOn w:val="Normal"/>
    <w:qFormat/>
    <w:pPr>
      <w:widowControl w:val="false"/>
      <w:suppressAutoHyphens w:val="false"/>
    </w:pPr>
    <w:rPr>
      <w:lang w:val="ru-RU" w:eastAsia="ru-RU"/>
    </w:rPr>
  </w:style>
  <w:style w:type="paragraph" w:styleId="Style19">
    <w:name w:val="Вміст рамки"/>
    <w:basedOn w:val="Normal"/>
    <w:qFormat/>
    <w:pPr/>
    <w:rPr/>
  </w:style>
  <w:style w:type="paragraph" w:styleId="NoSpacing">
    <w:name w:val="No Spacing"/>
    <w:qFormat/>
    <w:pPr>
      <w:widowControl/>
      <w:suppressAutoHyphens w:val="true"/>
      <w:bidi w:val="0"/>
      <w:spacing w:lineRule="auto" w:line="240" w:before="0" w:after="0"/>
      <w:jc w:val="left"/>
    </w:pPr>
    <w:rPr>
      <w:rFonts w:ascii="Calibri" w:hAnsi="Calibri" w:eastAsia="Times New Roman" w:cs="Calibri"/>
      <w:color w:val="auto"/>
      <w:kern w:val="0"/>
      <w:sz w:val="22"/>
      <w:szCs w:val="22"/>
      <w:lang w:val="uk-UA" w:eastAsia="zh-CN" w:bidi="ar-SA"/>
      <w14:ligatures w14:val="none"/>
    </w:rPr>
  </w:style>
  <w:style w:type="paragraph" w:styleId="Xfmc1">
    <w:name w:val="xfmc1"/>
    <w:basedOn w:val="Normal"/>
    <w:qFormat/>
    <w:pPr>
      <w:spacing w:lineRule="auto" w:line="240" w:beforeAutospacing="1" w:afterAutospacing="1"/>
    </w:pPr>
    <w:rPr>
      <w:rFonts w:ascii="Times New Roman" w:hAnsi="Times New Roman" w:eastAsia="Times New Roman" w:cs="Times New Roman"/>
      <w:sz w:val="24"/>
      <w:szCs w:val="24"/>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val="ru-RU" w:eastAsia="ru-RU"/>
    </w:rPr>
  </w:style>
  <w:style w:type="paragraph" w:styleId="Standard">
    <w:name w:val="Standard"/>
    <w:qFormat/>
    <w:pPr>
      <w:widowControl/>
      <w:suppressAutoHyphens w:val="true"/>
      <w:bidi w:val="0"/>
      <w:spacing w:lineRule="auto" w:line="259" w:before="0" w:after="160"/>
      <w:jc w:val="left"/>
      <w:textAlignment w:val="baseline"/>
    </w:pPr>
    <w:rPr>
      <w:rFonts w:ascii="Calibri" w:hAnsi="Calibri" w:eastAsia="SimSun" w:cs="Calibri"/>
      <w:color w:val="auto"/>
      <w:kern w:val="2"/>
      <w:sz w:val="22"/>
      <w:szCs w:val="22"/>
      <w:lang w:val="uk-UA" w:eastAsia="en-US" w:bidi="ar-SA"/>
    </w:rPr>
  </w:style>
  <w:style w:type="paragraph" w:styleId="Style20">
    <w:name w:val="Без интервала"/>
    <w:qFormat/>
    <w:pPr>
      <w:widowControl/>
      <w:suppressAutoHyphens w:val="true"/>
      <w:bidi w:val="0"/>
      <w:spacing w:before="0" w:after="0"/>
      <w:jc w:val="left"/>
    </w:pPr>
    <w:rPr>
      <w:rFonts w:ascii="Calibri" w:hAnsi="Calibri" w:eastAsia="Tahoma" w:cs="Times New Roman" w:asciiTheme="minorHAnsi" w:hAnsiTheme="minorHAnsi"/>
      <w:color w:val="00000A"/>
      <w:kern w:val="2"/>
      <w:sz w:val="22"/>
      <w:szCs w:val="22"/>
      <w:lang w:val="uk-UA" w:eastAsia="en-US" w:bidi="ar-SA"/>
      <w14:ligatures w14:val="standardContextual"/>
    </w:rPr>
  </w:style>
  <w:style w:type="paragraph" w:styleId="Cee1fbf7edfbe9">
    <w:name w:val="Оceбe1ыfbчf7нedыfbйe9"/>
    <w:qFormat/>
    <w:pPr>
      <w:widowControl w:val="false"/>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LibreOffice/7.6.0.3$Windows_X86_64 LibreOffice_project/69edd8b8ebc41d00b4de3915dc82f8f0fc3b6265</Application>
  <AppVersion>15.0000</AppVersion>
  <Pages>3</Pages>
  <Words>698</Words>
  <Characters>4917</Characters>
  <CharactersWithSpaces>5623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2023-12-21T20:17:00Z</dcterms:created>
  <dc:creator>Yehor</dc:creator>
  <dc:description/>
  <dc:language>uk-UA</dc:language>
  <cp:lastModifiedBy/>
  <dcterms:modified xsi:type="dcterms:W3CDTF">2024-04-16T10:41:33Z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