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120" w:after="0"/>
        <w:contextualSpacing/>
        <w:jc w:val="center"/>
        <w:rPr>
          <w:color w:val="000000"/>
        </w:rPr>
      </w:pPr>
      <w:bookmarkStart w:id="0" w:name="_GoBack"/>
      <w:bookmarkEnd w:id="0"/>
      <w:r>
        <w:rPr>
          <w:rFonts w:ascii="Times New Roman" w:hAnsi="Times New Roman"/>
          <w:b/>
          <w:caps/>
          <w:color w:val="000000"/>
          <w:sz w:val="24"/>
          <w:szCs w:val="24"/>
          <w:lang w:eastAsia="ar-SA"/>
        </w:rPr>
        <w:t>Комунальне некомерційне підприємство</w:t>
      </w:r>
    </w:p>
    <w:p>
      <w:pPr>
        <w:pStyle w:val="Normal"/>
        <w:suppressAutoHyphens w:val="true"/>
        <w:spacing w:lineRule="auto" w:line="360" w:before="0" w:after="0"/>
        <w:jc w:val="center"/>
        <w:rPr>
          <w:color w:val="000000"/>
        </w:rPr>
      </w:pPr>
      <w:r>
        <w:rPr>
          <w:rFonts w:ascii="Times New Roman" w:hAnsi="Times New Roman"/>
          <w:b/>
          <w:caps/>
          <w:color w:val="000000"/>
          <w:sz w:val="24"/>
          <w:szCs w:val="24"/>
          <w:lang w:eastAsia="ar-SA"/>
        </w:rPr>
        <w:t>«Міська поліклініка № 20» Харківської міської ради</w:t>
      </w:r>
    </w:p>
    <w:p>
      <w:pPr>
        <w:pStyle w:val="Normal"/>
        <w:jc w:val="both"/>
        <w:rPr>
          <w:color w:val="000000"/>
        </w:rPr>
      </w:pPr>
      <w:r>
        <w:rPr>
          <w:rFonts w:ascii="Times New Roman" w:hAnsi="Times New Roman"/>
          <w:b/>
          <w:bCs/>
          <w:color w:val="000000"/>
          <w:sz w:val="24"/>
          <w:szCs w:val="24"/>
          <w:lang w:eastAsia="uk-UA"/>
        </w:rPr>
        <w:t xml:space="preserve">ОБҐРУНТУВАННЯ </w:t>
      </w:r>
      <w:r>
        <w:rPr>
          <w:rFonts w:ascii="Times New Roman" w:hAnsi="Times New Roman"/>
          <w:color w:val="000000"/>
          <w:sz w:val="24"/>
          <w:szCs w:val="24"/>
          <w:lang w:eastAsia="uk-UA"/>
        </w:rPr>
        <w:t xml:space="preserve">технічних та якісних характеристик  </w:t>
      </w:r>
      <w:r>
        <w:rPr>
          <w:rFonts w:ascii="Times New Roman" w:hAnsi="Times New Roman"/>
          <w:b w:val="false"/>
          <w:bCs w:val="false"/>
          <w:color w:val="000000"/>
          <w:sz w:val="24"/>
          <w:szCs w:val="24"/>
          <w:lang w:eastAsia="uk-UA"/>
        </w:rPr>
        <w:t xml:space="preserve">закупівлі </w:t>
      </w:r>
      <w:r>
        <w:rPr>
          <w:rFonts w:cs="Times New Roman" w:ascii="Times New Roman" w:hAnsi="Times New Roman"/>
          <w:b/>
          <w:bCs/>
          <w:i w:val="false"/>
          <w:iCs w:val="false"/>
          <w:color w:val="000000"/>
          <w:sz w:val="24"/>
          <w:szCs w:val="24"/>
          <w:u w:val="none"/>
          <w:lang w:eastAsia="uk-UA"/>
        </w:rPr>
        <w:t xml:space="preserve">Дезінфекційні засоби </w:t>
      </w:r>
      <w:r>
        <w:rPr>
          <w:rFonts w:cs="Times New Roman" w:ascii="Times New Roman" w:hAnsi="Times New Roman"/>
          <w:b w:val="false"/>
          <w:bCs w:val="false"/>
          <w:i w:val="false"/>
          <w:iCs w:val="false"/>
          <w:color w:val="000000"/>
          <w:sz w:val="24"/>
          <w:szCs w:val="24"/>
          <w:u w:val="none"/>
          <w:lang w:eastAsia="uk-UA"/>
        </w:rPr>
        <w:t xml:space="preserve"> </w:t>
      </w:r>
      <w:r>
        <w:rPr>
          <w:rFonts w:cs="Times New Roman" w:ascii="Times New Roman" w:hAnsi="Times New Roman"/>
          <w:b/>
          <w:bCs/>
          <w:i w:val="false"/>
          <w:iCs w:val="false"/>
          <w:color w:val="000000"/>
          <w:sz w:val="24"/>
          <w:szCs w:val="24"/>
          <w:u w:val="none"/>
          <w:lang w:eastAsia="uk-UA"/>
        </w:rPr>
        <w:t xml:space="preserve">Код за ДК 021:2015: 24455000-8 - Дезинфекційні засоби </w:t>
      </w:r>
      <w:r>
        <w:rPr>
          <w:rFonts w:cs="Times New Roman" w:ascii="Times New Roman" w:hAnsi="Times New Roman"/>
          <w:b/>
          <w:bCs/>
          <w:i/>
          <w:iCs/>
          <w:color w:val="000000"/>
          <w:sz w:val="24"/>
          <w:szCs w:val="24"/>
          <w:lang w:eastAsia="uk-UA"/>
        </w:rPr>
        <w:t xml:space="preserve"> </w:t>
      </w:r>
      <w:r>
        <w:rPr>
          <w:rFonts w:ascii="Times New Roman" w:hAnsi="Times New Roman"/>
          <w:i/>
          <w:iCs/>
          <w:color w:val="000000"/>
          <w:sz w:val="24"/>
          <w:szCs w:val="24"/>
          <w:lang w:eastAsia="uk-UA"/>
        </w:rPr>
        <w:t xml:space="preserve">(оприлюднюється на виконання постанови КМУ № 710 від 11.10.2016 «Про ефективне використання державних коштів» (зі змінами)). </w:t>
      </w:r>
      <w:r>
        <w:rPr>
          <w:rFonts w:ascii="Times New Roman" w:hAnsi="Times New Roman"/>
          <w:color w:val="000000"/>
          <w:sz w:val="24"/>
          <w:szCs w:val="24"/>
        </w:rPr>
        <w:t xml:space="preserve">Відповідно до ч.2 </w:t>
      </w:r>
      <w:r>
        <w:rPr>
          <w:rFonts w:ascii="Times New Roman" w:hAnsi="Times New Roman"/>
          <w:color w:val="000000"/>
          <w:sz w:val="24"/>
          <w:szCs w:val="24"/>
          <w:shd w:fill="FFFFFF" w:val="clear"/>
        </w:rPr>
        <w:t>ст.3  Закону України «Про відкритість використання публічних коштів»: «Інформація, зазначена в цьому пункті, оприлюднюється щорічно, не пізніше 31 січня року, наступного за звітним роком, та зберігається в режимі вільного доступу протягом трьох років з дня оприлюднення.»</w:t>
      </w:r>
    </w:p>
    <w:p>
      <w:pPr>
        <w:pStyle w:val="Normal"/>
        <w:jc w:val="both"/>
        <w:rPr>
          <w:color w:val="000000"/>
        </w:rPr>
      </w:pPr>
      <w:r>
        <w:rPr>
          <w:rFonts w:ascii="Times New Roman" w:hAnsi="Times New Roman"/>
          <w:color w:val="000000"/>
          <w:sz w:val="24"/>
          <w:szCs w:val="24"/>
          <w:lang w:eastAsia="uk-UA"/>
        </w:rPr>
        <w:br/>
      </w:r>
      <w:r>
        <w:rPr>
          <w:rFonts w:ascii="Times New Roman" w:hAnsi="Times New Roman"/>
          <w:b w:val="false"/>
          <w:bCs w:val="false"/>
          <w:color w:val="000000"/>
          <w:sz w:val="24"/>
          <w:szCs w:val="24"/>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hAnsi="Times New Roman"/>
          <w:b/>
          <w:bCs/>
          <w:color w:val="000000"/>
          <w:sz w:val="24"/>
          <w:szCs w:val="24"/>
          <w:lang w:eastAsia="uk-UA"/>
        </w:rPr>
        <w:t xml:space="preserve"> </w:t>
      </w:r>
      <w:r>
        <w:rPr>
          <w:rFonts w:ascii="Times New Roman" w:hAnsi="Times New Roman"/>
          <w:b/>
          <w:bCs/>
          <w:color w:val="000000"/>
          <w:sz w:val="24"/>
          <w:szCs w:val="24"/>
          <w:u w:val="single"/>
          <w:lang w:eastAsia="uk-UA"/>
        </w:rPr>
        <w:t xml:space="preserve">Комунальне  некомерційне підприємство  «Міська  поліклініка  № 20»  Харківської  міської  ради ; </w:t>
      </w:r>
      <w:r>
        <w:rPr>
          <w:rFonts w:ascii="Times New Roman" w:hAnsi="Times New Roman"/>
          <w:b/>
          <w:bCs/>
          <w:color w:val="000000"/>
          <w:sz w:val="24"/>
          <w:szCs w:val="24"/>
          <w:u w:val="single"/>
        </w:rPr>
        <w:t>61068, Україна, Харківська область, м. Харків, проспект Героїв Харкова, буд.179;</w:t>
      </w:r>
      <w:r>
        <w:rPr>
          <w:rFonts w:ascii="Times New Roman" w:hAnsi="Times New Roman"/>
          <w:b/>
          <w:bCs/>
          <w:color w:val="000000"/>
          <w:sz w:val="24"/>
          <w:szCs w:val="24"/>
          <w:u w:val="single"/>
          <w:lang w:eastAsia="uk-UA"/>
        </w:rPr>
        <w:t xml:space="preserve"> ідентифікаційний код: 34017656;</w:t>
      </w:r>
      <w:r>
        <w:rPr>
          <w:rFonts w:ascii="Times New Roman" w:hAnsi="Times New Roman"/>
          <w:b/>
          <w:bCs/>
          <w:color w:val="000000"/>
          <w:sz w:val="24"/>
          <w:szCs w:val="24"/>
          <w:u w:val="single"/>
        </w:rPr>
        <w:t xml:space="preserve"> юридична  особа, яка  забезпечує  потреби  держави  або  територіальної  громади</w:t>
      </w:r>
    </w:p>
    <w:p>
      <w:pPr>
        <w:pStyle w:val="Normal"/>
        <w:spacing w:lineRule="auto" w:line="240" w:before="240" w:after="0"/>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jc w:val="both"/>
        <w:rPr>
          <w:color w:val="000000"/>
        </w:rPr>
      </w:pPr>
      <w:r>
        <w:rPr>
          <w:rFonts w:ascii="Times New Roman" w:hAnsi="Times New Roman"/>
          <w:b w:val="false"/>
          <w:bCs w:val="false"/>
          <w:color w:val="000000"/>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hAnsi="Times New Roman"/>
          <w:b/>
          <w:bCs/>
          <w:color w:val="000000"/>
          <w:sz w:val="24"/>
          <w:szCs w:val="24"/>
          <w:lang w:eastAsia="uk-UA"/>
        </w:rPr>
        <w:t xml:space="preserve"> </w:t>
      </w:r>
      <w:r>
        <w:rPr>
          <w:rFonts w:cs="Times New Roman" w:ascii="Times New Roman" w:hAnsi="Times New Roman"/>
          <w:b/>
          <w:bCs/>
          <w:i w:val="false"/>
          <w:iCs w:val="false"/>
          <w:color w:val="000000"/>
          <w:sz w:val="24"/>
          <w:szCs w:val="24"/>
          <w:lang w:eastAsia="uk-UA"/>
        </w:rPr>
        <w:t xml:space="preserve">Дезінфекційні засоби </w:t>
      </w:r>
      <w:r>
        <w:rPr>
          <w:rFonts w:ascii="Times New Roman" w:hAnsi="Times New Roman"/>
          <w:b w:val="false"/>
          <w:bCs w:val="false"/>
          <w:i w:val="false"/>
          <w:iCs w:val="false"/>
          <w:color w:val="000000"/>
          <w:sz w:val="24"/>
          <w:szCs w:val="24"/>
          <w:lang w:eastAsia="uk-UA"/>
        </w:rPr>
        <w:t xml:space="preserve"> </w:t>
      </w:r>
      <w:r>
        <w:rPr>
          <w:rFonts w:cs="Times New Roman" w:ascii="Times New Roman" w:hAnsi="Times New Roman"/>
          <w:b/>
          <w:bCs/>
          <w:i w:val="false"/>
          <w:iCs w:val="false"/>
          <w:color w:val="000000"/>
          <w:sz w:val="24"/>
          <w:szCs w:val="24"/>
          <w:lang w:eastAsia="uk-UA"/>
        </w:rPr>
        <w:t xml:space="preserve">Код за ДК 021:2015: 24455000-8 - Дезинфекційні засоби </w:t>
      </w:r>
    </w:p>
    <w:p>
      <w:pPr>
        <w:pStyle w:val="Normal"/>
        <w:jc w:val="both"/>
        <w:rPr>
          <w:color w:val="000000"/>
        </w:rPr>
      </w:pPr>
      <w:r>
        <w:rPr>
          <w:rFonts w:eastAsia="Times New Roman" w:ascii="Times New Roman" w:hAnsi="Times New Roman"/>
          <w:b/>
          <w:bCs/>
          <w:color w:val="000000"/>
          <w:sz w:val="24"/>
          <w:szCs w:val="24"/>
          <w:lang w:eastAsia="uk-UA"/>
        </w:rPr>
        <w:t> </w:t>
      </w:r>
    </w:p>
    <w:p>
      <w:pPr>
        <w:pStyle w:val="Normal"/>
        <w:jc w:val="both"/>
        <w:rPr>
          <w:color w:val="000000"/>
        </w:rPr>
      </w:pPr>
      <w:r>
        <w:rPr>
          <w:rFonts w:ascii="Times New Roman" w:hAnsi="Times New Roman"/>
          <w:b/>
          <w:bCs/>
          <w:color w:val="000000"/>
          <w:sz w:val="24"/>
          <w:szCs w:val="24"/>
          <w:lang w:eastAsia="uk-UA"/>
        </w:rPr>
        <w:t xml:space="preserve"> </w:t>
      </w:r>
      <w:r>
        <w:rPr>
          <w:rFonts w:ascii="Times New Roman" w:hAnsi="Times New Roman"/>
          <w:b/>
          <w:bCs/>
          <w:color w:val="000000"/>
          <w:sz w:val="24"/>
          <w:szCs w:val="24"/>
          <w:lang w:eastAsia="uk-UA"/>
        </w:rPr>
        <w:t xml:space="preserve">Вид та ідентифікатор процедури закупівлі:  </w:t>
      </w:r>
      <w:r>
        <w:rPr>
          <w:rFonts w:ascii="Times New Roman" w:hAnsi="Times New Roman"/>
          <w:b/>
          <w:bCs/>
          <w:color w:val="000000"/>
          <w:sz w:val="24"/>
          <w:szCs w:val="24"/>
          <w:u w:val="single"/>
          <w:shd w:fill="F0F5F2" w:val="clear"/>
          <w:lang w:eastAsia="uk-UA"/>
        </w:rPr>
        <w:t xml:space="preserve">ВІДКРИТІ ТОРГИ З ОСОБЛИВОСТЯМИ </w:t>
      </w:r>
    </w:p>
    <w:p>
      <w:pPr>
        <w:pStyle w:val="Normal"/>
        <w:jc w:val="both"/>
        <w:rPr>
          <w:color w:val="000000"/>
        </w:rPr>
      </w:pPr>
      <w:hyperlink r:id="rId2" w:tgtFrame="_blank">
        <w:bookmarkStart w:id="1" w:name="qa_planTenderIdUa"/>
        <w:bookmarkEnd w:id="1"/>
        <w:r>
          <w:rPr>
            <w:rStyle w:val="Hyperlink"/>
            <w:rFonts w:ascii="Times New Roman" w:hAnsi="Times New Roman"/>
            <w:color w:val="000000"/>
            <w:sz w:val="24"/>
            <w:szCs w:val="24"/>
            <w:u w:val="single"/>
            <w:shd w:fill="F0F5F2" w:val="clear"/>
            <w:lang w:eastAsia="uk-UA"/>
          </w:rPr>
          <w:t>UA-2024-06-14-006619-a</w:t>
        </w:r>
      </w:hyperlink>
      <w:r>
        <w:rPr>
          <w:rFonts w:ascii="Times New Roman" w:hAnsi="Times New Roman"/>
          <w:color w:val="000000"/>
          <w:sz w:val="24"/>
          <w:szCs w:val="24"/>
          <w:u w:val="single"/>
          <w:shd w:fill="F0F5F2" w:val="clear"/>
          <w:lang w:eastAsia="uk-UA"/>
        </w:rPr>
        <w:t xml:space="preserve"> </w:t>
      </w:r>
    </w:p>
    <w:p>
      <w:pPr>
        <w:pStyle w:val="Normal"/>
        <w:jc w:val="both"/>
        <w:rPr>
          <w:color w:val="000000"/>
        </w:rPr>
      </w:pPr>
      <w:r>
        <w:rPr/>
      </w:r>
    </w:p>
    <w:p>
      <w:pPr>
        <w:pStyle w:val="Normal"/>
        <w:jc w:val="both"/>
        <w:rPr>
          <w:color w:val="000000"/>
        </w:rPr>
      </w:pPr>
      <w:r>
        <w:rPr>
          <w:color w:val="000000"/>
        </w:rPr>
      </w:r>
    </w:p>
    <w:p>
      <w:pPr>
        <w:pStyle w:val="Normal"/>
        <w:jc w:val="both"/>
        <w:rPr>
          <w:color w:val="000000"/>
        </w:rPr>
      </w:pPr>
      <w:r>
        <w:rPr>
          <w:rFonts w:ascii="Times New Roman" w:hAnsi="Times New Roman"/>
          <w:color w:val="000000"/>
          <w:sz w:val="24"/>
          <w:szCs w:val="24"/>
          <w:u w:val="single"/>
          <w:shd w:fill="F0F5F2" w:val="clear"/>
          <w:lang w:eastAsia="uk-UA"/>
        </w:rPr>
        <w:t xml:space="preserve"> </w:t>
      </w:r>
    </w:p>
    <w:p>
      <w:pPr>
        <w:pStyle w:val="Normal"/>
        <w:jc w:val="both"/>
        <w:rPr>
          <w:rFonts w:ascii="Times New Roman" w:hAnsi="Times New Roman"/>
          <w:color w:val="000000"/>
          <w:sz w:val="24"/>
          <w:szCs w:val="24"/>
          <w:shd w:fill="F0F5F2" w:val="clear"/>
        </w:rPr>
      </w:pPr>
      <w:r>
        <w:rPr>
          <w:rFonts w:ascii="Times New Roman" w:hAnsi="Times New Roman"/>
          <w:color w:val="000000"/>
          <w:sz w:val="24"/>
          <w:szCs w:val="24"/>
          <w:shd w:fill="F0F5F2" w:val="clear"/>
        </w:rPr>
      </w:r>
    </w:p>
    <w:p>
      <w:pPr>
        <w:pStyle w:val="Normal"/>
        <w:jc w:val="both"/>
        <w:rPr>
          <w:color w:val="000000"/>
        </w:rPr>
      </w:pPr>
      <w:r>
        <w:rPr>
          <w:rFonts w:ascii="Times New Roman" w:hAnsi="Times New Roman"/>
          <w:b/>
          <w:bCs/>
          <w:color w:val="000000"/>
          <w:sz w:val="24"/>
          <w:szCs w:val="24"/>
          <w:shd w:fill="FFFFFF" w:val="clear"/>
        </w:rPr>
        <w:t>Вид закупівлі:</w:t>
      </w:r>
      <w:r>
        <w:rPr>
          <w:rFonts w:ascii="Times New Roman" w:hAnsi="Times New Roman"/>
          <w:color w:val="000000"/>
          <w:sz w:val="24"/>
          <w:szCs w:val="24"/>
          <w:shd w:fill="FFFFFF" w:val="clear"/>
        </w:rPr>
        <w:t xml:space="preserve"> </w:t>
      </w:r>
      <w:r>
        <w:rPr>
          <w:rFonts w:ascii="Times New Roman" w:hAnsi="Times New Roman"/>
          <w:color w:val="000000"/>
          <w:sz w:val="24"/>
          <w:szCs w:val="24"/>
          <w:u w:val="single"/>
          <w:shd w:fill="FFFFFF" w:val="clear"/>
        </w:rPr>
        <w:t>процедура закупівлі -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  - відкриті торги з особливостями</w:t>
      </w:r>
    </w:p>
    <w:p>
      <w:pPr>
        <w:pStyle w:val="Normal"/>
        <w:spacing w:lineRule="auto" w:line="240" w:before="0" w:after="0"/>
        <w:jc w:val="both"/>
        <w:rPr>
          <w:color w:val="000000"/>
        </w:rPr>
      </w:pPr>
      <w:r>
        <w:rPr>
          <w:rFonts w:ascii="Times New Roman" w:hAnsi="Times New Roman"/>
          <w:b/>
          <w:bCs/>
          <w:color w:val="000000"/>
          <w:sz w:val="24"/>
          <w:szCs w:val="24"/>
          <w:lang w:eastAsia="uk-UA"/>
        </w:rPr>
        <w:t>Очікувана вартість та обґрунтування очікуваної вартості предмета закупівлі:</w:t>
      </w:r>
      <w:r>
        <w:rPr>
          <w:rFonts w:ascii="Times New Roman" w:hAnsi="Times New Roman"/>
          <w:color w:val="000000"/>
          <w:sz w:val="24"/>
          <w:szCs w:val="24"/>
          <w:lang w:eastAsia="uk-UA"/>
        </w:rPr>
        <w:t xml:space="preserve">          </w:t>
      </w:r>
      <w:r>
        <w:rPr>
          <w:rFonts w:ascii="Times New Roman" w:hAnsi="Times New Roman"/>
          <w:color w:val="000000"/>
          <w:sz w:val="24"/>
          <w:szCs w:val="24"/>
          <w:lang w:eastAsia="uk-UA"/>
        </w:rPr>
        <w:t>60</w:t>
      </w:r>
      <w:r>
        <w:rPr>
          <w:rFonts w:ascii="Times New Roman" w:hAnsi="Times New Roman"/>
          <w:color w:val="000000"/>
          <w:sz w:val="24"/>
          <w:szCs w:val="24"/>
          <w:lang w:eastAsia="uk-UA"/>
        </w:rPr>
        <w:t>000,00</w:t>
      </w:r>
      <w:r>
        <w:rPr>
          <w:rFonts w:ascii="Times New Roman" w:hAnsi="Times New Roman"/>
          <w:color w:val="000000"/>
          <w:sz w:val="24"/>
          <w:szCs w:val="24"/>
          <w:u w:val="none"/>
          <w:lang w:eastAsia="ru-RU"/>
        </w:rPr>
        <w:t xml:space="preserve"> </w:t>
      </w:r>
      <w:r>
        <w:rPr>
          <w:rFonts w:ascii="Times New Roman" w:hAnsi="Times New Roman"/>
          <w:color w:val="000000"/>
          <w:sz w:val="24"/>
          <w:szCs w:val="24"/>
          <w:u w:val="none"/>
          <w:lang w:eastAsia="uk-UA"/>
        </w:rPr>
        <w:t xml:space="preserve"> грн. з ПДВ</w:t>
      </w:r>
    </w:p>
    <w:p>
      <w:pPr>
        <w:pStyle w:val="11"/>
        <w:tabs>
          <w:tab w:val="clear" w:pos="708"/>
          <w:tab w:val="left" w:pos="0" w:leader="none"/>
        </w:tabs>
        <w:ind w:hanging="0" w:left="0" w:right="-79"/>
        <w:rPr>
          <w:color w:val="000000"/>
        </w:rPr>
      </w:pPr>
      <w:r>
        <w:rPr>
          <w:color w:val="000000"/>
          <w:szCs w:val="24"/>
          <w:lang w:val="uk-UA"/>
        </w:rPr>
        <w:t>Очікувана вартість предмета  закупівлі визначена шляхом проведення моніторингу цін на підставі комерційних пропозицій, отриманих від суб’єктів господарювання.</w:t>
      </w:r>
    </w:p>
    <w:p>
      <w:pPr>
        <w:pStyle w:val="Normal"/>
        <w:shd w:val="clear" w:color="auto" w:fill="FFFFFF"/>
        <w:spacing w:before="0" w:after="0"/>
        <w:jc w:val="both"/>
        <w:rPr>
          <w:u w:val="none"/>
        </w:rPr>
      </w:pPr>
      <w:r>
        <w:rPr>
          <w:rFonts w:ascii="Times New Roman" w:hAnsi="Times New Roman"/>
          <w:b/>
          <w:bCs/>
          <w:color w:val="000000"/>
          <w:sz w:val="24"/>
          <w:szCs w:val="24"/>
          <w:u w:val="none"/>
          <w:lang w:eastAsia="uk-UA"/>
        </w:rPr>
        <w:t>Розмір бюджетного призначення:</w:t>
      </w:r>
      <w:r>
        <w:rPr>
          <w:rFonts w:ascii="Times New Roman" w:hAnsi="Times New Roman"/>
          <w:color w:val="000000"/>
          <w:sz w:val="24"/>
          <w:szCs w:val="24"/>
          <w:u w:val="none"/>
          <w:lang w:eastAsia="uk-UA"/>
        </w:rPr>
        <w:t> </w:t>
      </w:r>
      <w:r>
        <w:rPr>
          <w:rFonts w:ascii="Times New Roman" w:hAnsi="Times New Roman"/>
          <w:color w:val="000000"/>
          <w:sz w:val="24"/>
          <w:szCs w:val="24"/>
          <w:u w:val="none"/>
          <w:lang w:eastAsia="uk-UA"/>
        </w:rPr>
        <w:t>Місцевий</w:t>
      </w:r>
      <w:r>
        <w:rPr>
          <w:rFonts w:ascii="Times New Roman" w:hAnsi="Times New Roman"/>
          <w:color w:val="000000"/>
          <w:sz w:val="24"/>
          <w:szCs w:val="24"/>
          <w:u w:val="none"/>
          <w:lang w:eastAsia="ru-RU"/>
        </w:rPr>
        <w:t xml:space="preserve"> бюджет </w:t>
      </w:r>
      <w:r>
        <w:rPr>
          <w:rFonts w:ascii="Times New Roman" w:hAnsi="Times New Roman"/>
          <w:color w:val="000000"/>
          <w:sz w:val="24"/>
          <w:szCs w:val="24"/>
          <w:u w:val="none"/>
          <w:lang w:eastAsia="ru-RU"/>
        </w:rPr>
        <w:t>60</w:t>
      </w:r>
      <w:r>
        <w:rPr>
          <w:rFonts w:ascii="Times New Roman" w:hAnsi="Times New Roman"/>
          <w:color w:val="000000"/>
          <w:sz w:val="24"/>
          <w:szCs w:val="24"/>
          <w:u w:val="none"/>
          <w:lang w:eastAsia="uk-UA"/>
        </w:rPr>
        <w:t>000,00</w:t>
      </w:r>
      <w:r>
        <w:rPr>
          <w:rFonts w:ascii="Times New Roman" w:hAnsi="Times New Roman"/>
          <w:color w:val="000000"/>
          <w:sz w:val="24"/>
          <w:szCs w:val="24"/>
          <w:u w:val="none"/>
          <w:lang w:eastAsia="ru-RU"/>
        </w:rPr>
        <w:t xml:space="preserve"> </w:t>
      </w:r>
      <w:r>
        <w:rPr>
          <w:rFonts w:ascii="Times New Roman" w:hAnsi="Times New Roman"/>
          <w:color w:val="000000"/>
          <w:sz w:val="24"/>
          <w:szCs w:val="24"/>
          <w:u w:val="none"/>
          <w:lang w:eastAsia="uk-UA"/>
        </w:rPr>
        <w:t xml:space="preserve"> грн.</w:t>
      </w:r>
    </w:p>
    <w:tbl>
      <w:tblPr>
        <w:tblW w:w="1930" w:type="dxa"/>
        <w:jc w:val="left"/>
        <w:tblInd w:w="75" w:type="dxa"/>
        <w:tblLayout w:type="fixed"/>
        <w:tblCellMar>
          <w:top w:w="0" w:type="dxa"/>
          <w:left w:w="0" w:type="dxa"/>
          <w:bottom w:w="0" w:type="dxa"/>
          <w:right w:w="0" w:type="dxa"/>
        </w:tblCellMar>
      </w:tblPr>
      <w:tblGrid>
        <w:gridCol w:w="1930"/>
      </w:tblGrid>
      <w:tr>
        <w:trPr/>
        <w:tc>
          <w:tcPr>
            <w:tcW w:w="1930" w:type="dxa"/>
            <w:tcBorders/>
            <w:vAlign w:val="center"/>
          </w:tcPr>
          <w:p>
            <w:pPr>
              <w:pStyle w:val="Style16"/>
              <w:spacing w:before="0" w:after="0"/>
              <w:ind w:hanging="0" w:left="0" w:right="0"/>
              <w:rPr>
                <w:color w:val="000000"/>
              </w:rPr>
            </w:pPr>
            <w:r>
              <w:rPr>
                <w:color w:val="000000"/>
              </w:rPr>
            </w:r>
          </w:p>
        </w:tc>
      </w:tr>
    </w:tbl>
    <w:p>
      <w:pPr>
        <w:pStyle w:val="11"/>
        <w:tabs>
          <w:tab w:val="clear" w:pos="708"/>
          <w:tab w:val="left" w:pos="0" w:leader="none"/>
        </w:tabs>
        <w:ind w:hanging="0" w:left="0" w:right="-79"/>
        <w:rPr>
          <w:color w:val="000000"/>
        </w:rPr>
      </w:pPr>
      <w:r>
        <w:rPr>
          <w:b/>
          <w:bCs/>
          <w:color w:val="000000"/>
          <w:szCs w:val="24"/>
          <w:lang w:eastAsia="uk-UA"/>
        </w:rPr>
        <w:t>Обґрунтування якісних та технічних характеристик. </w:t>
      </w:r>
      <w:r>
        <w:rPr>
          <w:bCs/>
          <w:color w:val="000000"/>
          <w:szCs w:val="24"/>
          <w:lang w:eastAsia="uk-UA"/>
        </w:rPr>
        <w:t xml:space="preserve">Строк </w:t>
      </w:r>
      <w:r>
        <w:rPr>
          <w:bCs/>
          <w:color w:val="000000"/>
          <w:szCs w:val="24"/>
          <w:lang w:val="uk-UA" w:eastAsia="uk-UA"/>
        </w:rPr>
        <w:t>поставки товару</w:t>
      </w:r>
      <w:r>
        <w:rPr>
          <w:bCs/>
          <w:color w:val="000000"/>
          <w:szCs w:val="24"/>
          <w:lang w:eastAsia="uk-UA"/>
        </w:rPr>
        <w:t>:</w:t>
      </w:r>
      <w:r>
        <w:rPr>
          <w:i/>
          <w:iCs/>
          <w:color w:val="000000"/>
          <w:szCs w:val="24"/>
          <w:lang w:eastAsia="uk-UA"/>
        </w:rPr>
        <w:t xml:space="preserve"> </w:t>
      </w:r>
      <w:r>
        <w:rPr>
          <w:color w:val="000000"/>
          <w:szCs w:val="24"/>
          <w:lang w:eastAsia="uk-UA"/>
        </w:rPr>
        <w:t> </w:t>
      </w:r>
      <w:r>
        <w:rPr>
          <w:b/>
          <w:bCs/>
          <w:color w:val="000000"/>
          <w:szCs w:val="24"/>
          <w:lang w:eastAsia="uk-UA"/>
        </w:rPr>
        <w:t xml:space="preserve">до </w:t>
      </w:r>
      <w:r>
        <w:rPr>
          <w:b/>
          <w:bCs/>
          <w:color w:val="000000"/>
          <w:szCs w:val="24"/>
          <w:lang w:val="uk-UA" w:eastAsia="uk-UA"/>
        </w:rPr>
        <w:t xml:space="preserve">31 грудня </w:t>
      </w:r>
      <w:r>
        <w:rPr>
          <w:b/>
          <w:bCs/>
          <w:color w:val="000000"/>
          <w:szCs w:val="24"/>
          <w:lang w:eastAsia="uk-UA"/>
        </w:rPr>
        <w:t>202</w:t>
      </w:r>
      <w:r>
        <w:rPr>
          <w:b/>
          <w:bCs/>
          <w:color w:val="000000"/>
          <w:szCs w:val="24"/>
          <w:lang w:val="uk-UA" w:eastAsia="uk-UA"/>
        </w:rPr>
        <w:t>4</w:t>
      </w:r>
      <w:r>
        <w:rPr>
          <w:b/>
          <w:bCs/>
          <w:color w:val="000000"/>
          <w:szCs w:val="24"/>
          <w:lang w:eastAsia="uk-UA"/>
        </w:rPr>
        <w:t xml:space="preserve"> року.</w:t>
      </w:r>
    </w:p>
    <w:p>
      <w:pPr>
        <w:pStyle w:val="11"/>
        <w:tabs>
          <w:tab w:val="clear" w:pos="708"/>
          <w:tab w:val="left" w:pos="0" w:leader="none"/>
        </w:tabs>
        <w:ind w:hanging="0" w:left="0" w:right="-79"/>
        <w:rPr>
          <w:b/>
          <w:bCs/>
          <w:szCs w:val="24"/>
          <w:lang w:eastAsia="uk-UA"/>
        </w:rPr>
      </w:pPr>
      <w:r>
        <w:rPr>
          <w:b/>
          <w:bCs/>
          <w:szCs w:val="24"/>
          <w:lang w:eastAsia="uk-UA"/>
        </w:rPr>
      </w:r>
    </w:p>
    <w:p>
      <w:pPr>
        <w:pStyle w:val="11"/>
        <w:tabs>
          <w:tab w:val="clear" w:pos="708"/>
          <w:tab w:val="left" w:pos="0" w:leader="none"/>
        </w:tabs>
        <w:ind w:hanging="0" w:left="0" w:right="-79"/>
        <w:rPr>
          <w:b/>
          <w:bCs/>
          <w:szCs w:val="24"/>
          <w:lang w:eastAsia="uk-UA"/>
        </w:rPr>
      </w:pPr>
      <w:r>
        <w:rPr>
          <w:b/>
          <w:bCs/>
          <w:szCs w:val="24"/>
          <w:lang w:eastAsia="uk-UA"/>
        </w:rPr>
      </w:r>
    </w:p>
    <w:p>
      <w:pPr>
        <w:pStyle w:val="Normal"/>
        <w:spacing w:before="0" w:after="160"/>
        <w:contextualSpacing/>
        <w:jc w:val="center"/>
        <w:rPr>
          <w:rFonts w:ascii="Times New Roman" w:hAnsi="Times New Roman"/>
          <w:b/>
          <w:bCs/>
          <w:i/>
          <w:i/>
          <w:iCs/>
          <w:sz w:val="20"/>
          <w:szCs w:val="20"/>
          <w:lang w:val="uk-UA"/>
        </w:rPr>
      </w:pPr>
      <w:r>
        <w:rPr>
          <w:rFonts w:ascii="Times New Roman" w:hAnsi="Times New Roman"/>
          <w:b/>
          <w:bCs/>
          <w:sz w:val="24"/>
          <w:szCs w:val="24"/>
          <w:lang w:val="uk-UA"/>
        </w:rPr>
        <w:t>Інформація про необхідні технічні, якісні та кількісні характеристики предмета закупівлі та технічна специфікація до предмета закупівлі</w:t>
      </w:r>
      <w:r>
        <w:rPr>
          <w:rFonts w:ascii="Times New Roman" w:hAnsi="Times New Roman"/>
          <w:b/>
          <w:bCs/>
          <w:i/>
          <w:iCs/>
          <w:sz w:val="20"/>
          <w:szCs w:val="20"/>
          <w:lang w:val="uk-UA"/>
        </w:rPr>
        <w:t xml:space="preserve"> </w:t>
      </w:r>
    </w:p>
    <w:p>
      <w:pPr>
        <w:pStyle w:val="Web"/>
        <w:widowControl w:val="false"/>
        <w:spacing w:beforeAutospacing="0" w:before="0" w:afterAutospacing="0" w:after="0"/>
        <w:jc w:val="center"/>
        <w:rPr>
          <w:b/>
          <w:bCs/>
          <w:lang w:val="uk-UA"/>
        </w:rPr>
      </w:pPr>
      <w:r>
        <w:rPr>
          <w:b/>
          <w:bCs/>
          <w:color w:val="000000"/>
          <w:szCs w:val="24"/>
          <w:lang w:val="uk-UA"/>
        </w:rPr>
        <w:t>Дезінфекційні засоби</w:t>
      </w:r>
    </w:p>
    <w:p>
      <w:pPr>
        <w:pStyle w:val="Web"/>
        <w:widowControl w:val="false"/>
        <w:spacing w:beforeAutospacing="0" w:before="0" w:afterAutospacing="0" w:after="0"/>
        <w:jc w:val="center"/>
        <w:rPr>
          <w:b/>
          <w:bCs/>
          <w:lang w:val="uk-UA"/>
        </w:rPr>
      </w:pPr>
      <w:r>
        <w:rPr>
          <w:rFonts w:ascii="Times New Roman" w:hAnsi="Times New Roman"/>
          <w:b/>
          <w:bCs/>
          <w:color w:val="000000"/>
          <w:sz w:val="28"/>
          <w:szCs w:val="28"/>
          <w:lang w:val="uk-UA"/>
        </w:rPr>
        <w:t xml:space="preserve">   </w:t>
      </w:r>
      <w:r>
        <w:rPr>
          <w:rFonts w:ascii="Times New Roman" w:hAnsi="Times New Roman"/>
          <w:b/>
          <w:bCs/>
          <w:color w:val="000000"/>
          <w:szCs w:val="24"/>
          <w:lang w:val="uk-UA"/>
        </w:rPr>
        <w:t>ДК 021:2015: 24455000-8 Дезінфекційні засоби</w:t>
      </w:r>
    </w:p>
    <w:p>
      <w:pPr>
        <w:pStyle w:val="Normal"/>
        <w:spacing w:before="0" w:after="0"/>
        <w:rPr>
          <w:b/>
          <w:bCs/>
          <w:lang w:val="uk-UA"/>
        </w:rPr>
      </w:pPr>
      <w:r>
        <w:rPr>
          <w:rFonts w:ascii="Times New Roman" w:hAnsi="Times New Roman"/>
          <w:b/>
          <w:bCs/>
          <w:color w:val="000000"/>
          <w:sz w:val="24"/>
          <w:szCs w:val="24"/>
          <w:lang w:val="uk-UA"/>
        </w:rPr>
        <w:t xml:space="preserve"> </w:t>
      </w:r>
    </w:p>
    <w:p>
      <w:pPr>
        <w:pStyle w:val="Normal"/>
        <w:jc w:val="center"/>
        <w:rPr>
          <w:rFonts w:ascii="Times New Roman" w:hAnsi="Times New Roman"/>
          <w:sz w:val="24"/>
          <w:szCs w:val="24"/>
          <w:lang w:val="uk-UA"/>
        </w:rPr>
      </w:pPr>
      <w:r>
        <w:rPr>
          <w:rFonts w:ascii="Times New Roman" w:hAnsi="Times New Roman"/>
          <w:sz w:val="24"/>
          <w:szCs w:val="24"/>
          <w:lang w:val="uk-UA"/>
        </w:rPr>
        <w:t>ТЕХНІЧНІ ВИМОГИ</w:t>
        <w:tab/>
      </w:r>
    </w:p>
    <w:p>
      <w:pPr>
        <w:pStyle w:val="Normal"/>
        <w:jc w:val="center"/>
        <w:rPr>
          <w:rFonts w:ascii="Times New Roman" w:hAnsi="Times New Roman"/>
          <w:sz w:val="24"/>
          <w:szCs w:val="24"/>
          <w:lang w:val="uk-UA"/>
        </w:rPr>
      </w:pPr>
      <w:r>
        <w:rPr>
          <w:rFonts w:ascii="Times New Roman" w:hAnsi="Times New Roman"/>
          <w:sz w:val="24"/>
          <w:szCs w:val="24"/>
          <w:lang w:val="uk-UA"/>
        </w:rPr>
      </w:r>
    </w:p>
    <w:tbl>
      <w:tblPr>
        <w:tblW w:w="9599" w:type="dxa"/>
        <w:jc w:val="left"/>
        <w:tblInd w:w="143" w:type="dxa"/>
        <w:tblLayout w:type="fixed"/>
        <w:tblCellMar>
          <w:top w:w="0" w:type="dxa"/>
          <w:left w:w="108" w:type="dxa"/>
          <w:bottom w:w="0" w:type="dxa"/>
          <w:right w:w="108" w:type="dxa"/>
        </w:tblCellMar>
        <w:tblLook w:firstRow="0" w:noVBand="0" w:lastRow="0" w:firstColumn="0" w:lastColumn="0" w:noHBand="0" w:val="0000"/>
      </w:tblPr>
      <w:tblGrid>
        <w:gridCol w:w="685"/>
        <w:gridCol w:w="2679"/>
        <w:gridCol w:w="4997"/>
        <w:gridCol w:w="1237"/>
      </w:tblGrid>
      <w:tr>
        <w:trPr>
          <w:trHeight w:val="468" w:hRule="atLeast"/>
        </w:trPr>
        <w:tc>
          <w:tcPr>
            <w:tcW w:w="68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t>№</w:t>
            </w:r>
            <w:r>
              <w:rPr>
                <w:rFonts w:ascii="Times New Roman" w:hAnsi="Times New Roman"/>
                <w:sz w:val="24"/>
                <w:szCs w:val="24"/>
                <w:lang w:val="uk-UA"/>
              </w:rPr>
              <w:t>/П</w:t>
            </w:r>
          </w:p>
        </w:tc>
        <w:tc>
          <w:tcPr>
            <w:tcW w:w="267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t>Засіб</w:t>
            </w:r>
          </w:p>
        </w:tc>
        <w:tc>
          <w:tcPr>
            <w:tcW w:w="499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t>Технічні та якісні вимоги</w:t>
            </w:r>
          </w:p>
        </w:tc>
        <w:tc>
          <w:tcPr>
            <w:tcW w:w="123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t>Кількість, шт</w:t>
            </w:r>
          </w:p>
        </w:tc>
      </w:tr>
      <w:tr>
        <w:trPr>
          <w:trHeight w:val="468" w:hRule="atLeast"/>
        </w:trPr>
        <w:tc>
          <w:tcPr>
            <w:tcW w:w="68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t>1</w:t>
            </w:r>
          </w:p>
        </w:tc>
        <w:tc>
          <w:tcPr>
            <w:tcW w:w="267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t>Засіб дезінфекційний мийний</w:t>
            </w:r>
          </w:p>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t xml:space="preserve"> </w:t>
            </w:r>
            <w:r>
              <w:rPr>
                <w:rFonts w:ascii="Times New Roman" w:hAnsi="Times New Roman"/>
                <w:sz w:val="24"/>
                <w:szCs w:val="24"/>
                <w:lang w:val="uk-UA"/>
              </w:rPr>
              <w:t>«Чистолайн Універсал»</w:t>
            </w:r>
          </w:p>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t>або еквівалент</w:t>
            </w:r>
          </w:p>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r>
          </w:p>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t>Класифікація за ДК 021:2015: 24455000-8 Дезінфекційні засоби</w:t>
            </w:r>
          </w:p>
        </w:tc>
        <w:tc>
          <w:tcPr>
            <w:tcW w:w="49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1. Діюча речовина засобу  2-феноксіетанол не більше 1,0 %,  що має бути підтверджено витягом з державного реєстру та інструкцією виробника із застосування засобу.</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2. Засіб призначений для одночасного миття та дезінфекції поверхонь приміщень, санітарно-технічного обладнання у закладах та установах охорони здоров’я, що має бути призначено інструкцією виробника із застосування засобу.</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3. Засіб має бути зареєстрований в установленому порядку.</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4. Фасування 1 л.</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На підтвердження заявлених характеристик засобу надати:</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 Витяг з державного реєстру дезінфекційних засобів;</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 Інструкцію виробника із застосування засобу.</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Надати гарантійний лист від виробника або його офіційного представника з гарантією поставки на умовах, в кількості та в терміни, що визначені цим оголошенням.</w:t>
            </w:r>
          </w:p>
          <w:p>
            <w:pPr>
              <w:pStyle w:val="Normal"/>
              <w:spacing w:before="0" w:after="0"/>
              <w:jc w:val="both"/>
              <w:rPr>
                <w:rFonts w:ascii="Times New Roman" w:hAnsi="Times New Roman"/>
                <w:sz w:val="24"/>
                <w:szCs w:val="24"/>
                <w:lang w:val="uk-UA"/>
              </w:rPr>
            </w:pPr>
            <w:r>
              <w:rPr>
                <w:rFonts w:ascii="Times New Roman" w:hAnsi="Times New Roman"/>
                <w:sz w:val="24"/>
                <w:szCs w:val="24"/>
                <w:lang w:val="uk-UA"/>
              </w:rPr>
              <w:t>Залишковий термін придатності засобу на момент поставки становить не менше 80% від загального про що надається гарантійний лист від учасника.</w:t>
            </w:r>
          </w:p>
        </w:tc>
        <w:tc>
          <w:tcPr>
            <w:tcW w:w="123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t>21</w:t>
            </w:r>
          </w:p>
        </w:tc>
      </w:tr>
      <w:tr>
        <w:trPr>
          <w:trHeight w:val="468" w:hRule="atLeast"/>
        </w:trPr>
        <w:tc>
          <w:tcPr>
            <w:tcW w:w="68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t>2</w:t>
            </w:r>
          </w:p>
        </w:tc>
        <w:tc>
          <w:tcPr>
            <w:tcW w:w="267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t>Засіб дезінфекційний мийний «Чистолайн Універсал»</w:t>
            </w:r>
          </w:p>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t>або еквівалент</w:t>
            </w:r>
          </w:p>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r>
          </w:p>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t>Класифікація за ДК 021:2015: 24455000-8 Дезінфекційні засоби</w:t>
            </w:r>
          </w:p>
        </w:tc>
        <w:tc>
          <w:tcPr>
            <w:tcW w:w="49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1. Діюча речовина засобу  2-феноксіетанол не більше 1,0 %,  що має бути підтверджено витягом з державного реєстру та інструкцією виробника із застосування засобу.</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2. Засіб призначений для одночасного миття та дезінфекції поверхонь приміщень, санітарно-технічного обладнання у закладах та установах охорони здоров’я, що має бути призначено інструкцією виробника із застосування засобу.</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3. Засіб має бути зареєстрований в установленому порядку.</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4. Фасування 5 л.</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На підтвердження заявлених характеристик засобу надати:</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 Витяг з державного реєстру дезінфекційних засобів;</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 Інструкцію виробника із застосування засобу.</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Надати гарантійний лист від виробника або його офіційного представника з гарантією поставки на умовах, в кількості та в терміни, що визначені цим оголошенням.</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Залишковий термін придатності засобу на момент поставки становить не менше 80% від загального про що надається гарантійний лист від учасника.</w:t>
            </w:r>
          </w:p>
        </w:tc>
        <w:tc>
          <w:tcPr>
            <w:tcW w:w="123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t>30</w:t>
            </w:r>
          </w:p>
        </w:tc>
      </w:tr>
      <w:tr>
        <w:trPr>
          <w:trHeight w:val="468" w:hRule="atLeast"/>
        </w:trPr>
        <w:tc>
          <w:tcPr>
            <w:tcW w:w="68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t>3</w:t>
            </w:r>
          </w:p>
        </w:tc>
        <w:tc>
          <w:tcPr>
            <w:tcW w:w="267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Засіб дезінфекційний «Еконорм</w:t>
            </w:r>
            <w:r>
              <w:rPr>
                <w:rFonts w:cs="Times New Roman" w:ascii="Times New Roman" w:hAnsi="Times New Roman"/>
                <w:sz w:val="24"/>
                <w:szCs w:val="24"/>
                <w:vertAlign w:val="superscript"/>
                <w:lang w:val="en-US"/>
              </w:rPr>
              <w:t>DEZ</w:t>
            </w:r>
            <w:r>
              <w:rPr>
                <w:rFonts w:cs="Times New Roman" w:ascii="Times New Roman" w:hAnsi="Times New Roman"/>
                <w:sz w:val="24"/>
                <w:szCs w:val="24"/>
              </w:rPr>
              <w:t xml:space="preserve"> Етил»</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lang w:val="uk-UA"/>
              </w:rPr>
              <w:t>або еквівалент</w:t>
            </w:r>
          </w:p>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r>
          </w:p>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t>Класифікація за ДК 021:2015: 24455000-8 Дезінфекційні засоби</w:t>
            </w:r>
          </w:p>
        </w:tc>
        <w:tc>
          <w:tcPr>
            <w:tcW w:w="49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1.Діючі речовини засобу: спирт етиловий не менше 70,0% та суміш четвертинних амонійних сполук не менше 0,11%, що має бути підтверджено витягом з державного реєстру дезінфекційних засобів та інструкцією виробника із застосування засобу.</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2. Засіб призначений для:</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 швидкої (експрес) дезінфекції невеликих за розміром, важкодоступних для обробки об’єктів.</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На підтвердження призначення засобу надати інструкцію виробника із застосування засобу.</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3.Засіб має бути зареєстрований як дезінфекційний в установленому порядку.</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4. Фасування 1 л з насадкою.</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На підтвердження встановлених вимог до засобу надати:</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-Витяг  з державного реєстру дезінфекційних  засобів;</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 Інструкцію виробника із застосування засобу.</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Надати гарантійний лист від виробника або його офіційного представника з гарантією поставки на умовах, в кількості та в терміни, що визначені цим оголошенням.</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Залишковий термін придатності засобу на момент поставки становить не менше 80% від загального про що надається гарантійний лист від учасника.</w:t>
            </w:r>
          </w:p>
        </w:tc>
        <w:tc>
          <w:tcPr>
            <w:tcW w:w="123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t>85</w:t>
            </w:r>
          </w:p>
        </w:tc>
      </w:tr>
      <w:tr>
        <w:trPr>
          <w:trHeight w:val="468" w:hRule="atLeast"/>
        </w:trPr>
        <w:tc>
          <w:tcPr>
            <w:tcW w:w="68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t>4</w:t>
            </w:r>
          </w:p>
        </w:tc>
        <w:tc>
          <w:tcPr>
            <w:tcW w:w="267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Засіб дезінфекційний</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«Еконорм</w:t>
            </w:r>
            <w:r>
              <w:rPr>
                <w:rFonts w:cs="Times New Roman" w:ascii="Times New Roman" w:hAnsi="Times New Roman"/>
                <w:sz w:val="24"/>
                <w:szCs w:val="24"/>
                <w:vertAlign w:val="superscript"/>
              </w:rPr>
              <w:t xml:space="preserve">DEZ </w:t>
            </w:r>
            <w:r>
              <w:rPr>
                <w:rFonts w:cs="Times New Roman" w:ascii="Times New Roman" w:hAnsi="Times New Roman"/>
                <w:sz w:val="24"/>
                <w:szCs w:val="24"/>
              </w:rPr>
              <w:t>Лайт»</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lang w:val="uk-UA"/>
              </w:rPr>
              <w:t>або еквівалент</w:t>
            </w:r>
          </w:p>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r>
          </w:p>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r>
          </w:p>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r>
          </w:p>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t>Класифікація за ДК 021:2015: 24455000-8 Дезінфекційні засоби</w:t>
            </w:r>
          </w:p>
        </w:tc>
        <w:tc>
          <w:tcPr>
            <w:tcW w:w="499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1.Діюча речовина засобу 2-феноксіетанол не більше 2,2%, що має бути підтверджено витягом з державного реєстру дезінфекційних засобів та інструкцією виробника із застосування засобу.</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2. Засіб призначений для гігієнічної дезінфекції шкіри рук медичного персоналу лікувально-профілактичних установ/закладів, що має бути підтверджено інструкцією виробника із застосування засобу.</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3.Засіб має бути зареєстрований як дезінфекційний в установленому порядку.</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4. Фасування 1 л з насадкою.</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На підтвердження встановлених вимог до засобу надати:</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-Витяг  з державного реєстру дезінфекційних  засобів;</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 Інструкцію виробника із застосування засобу.</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Надати гарантійний лист від виробника або його офіційного представника з гарантією поставки на умовах, в кількості та в терміни, що визначені цим оголошенням.</w:t>
            </w:r>
          </w:p>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Залишковий термін придатності засобу на момент поставки становить не менше 80% від загального про що надається гарантійний лист від учасника.</w:t>
            </w:r>
          </w:p>
        </w:tc>
        <w:tc>
          <w:tcPr>
            <w:tcW w:w="123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4"/>
                <w:szCs w:val="24"/>
                <w:lang w:val="uk-UA"/>
              </w:rPr>
            </w:pPr>
            <w:r>
              <w:rPr>
                <w:rFonts w:ascii="Times New Roman" w:hAnsi="Times New Roman"/>
                <w:sz w:val="24"/>
                <w:szCs w:val="24"/>
                <w:lang w:val="uk-UA"/>
              </w:rPr>
              <w:t>27</w:t>
            </w:r>
          </w:p>
        </w:tc>
      </w:tr>
    </w:tbl>
    <w:p>
      <w:pPr>
        <w:pStyle w:val="Normal"/>
        <w:jc w:val="both"/>
        <w:rPr>
          <w:rFonts w:ascii="Times New Roman" w:hAnsi="Times New Roman"/>
          <w:i/>
          <w:i/>
          <w:iCs/>
          <w:sz w:val="20"/>
          <w:szCs w:val="20"/>
          <w:lang w:val="uk-UA"/>
        </w:rPr>
      </w:pPr>
      <w:r>
        <w:rPr>
          <w:rFonts w:ascii="Times New Roman" w:hAnsi="Times New Roman"/>
          <w:i/>
          <w:iCs/>
          <w:sz w:val="20"/>
          <w:szCs w:val="20"/>
          <w:lang w:val="uk-UA"/>
        </w:rPr>
        <w:t xml:space="preserve">Примітка: </w:t>
      </w:r>
    </w:p>
    <w:p>
      <w:pPr>
        <w:pStyle w:val="Normal"/>
        <w:spacing w:before="0" w:after="0"/>
        <w:jc w:val="both"/>
        <w:rPr>
          <w:rFonts w:ascii="Times New Roman" w:hAnsi="Times New Roman"/>
          <w:i/>
          <w:i/>
          <w:iCs/>
          <w:sz w:val="20"/>
          <w:szCs w:val="20"/>
          <w:lang w:val="uk-UA"/>
        </w:rPr>
      </w:pPr>
      <w:r>
        <w:rPr>
          <w:rFonts w:ascii="Times New Roman" w:hAnsi="Times New Roman"/>
          <w:i/>
          <w:iCs/>
          <w:sz w:val="20"/>
          <w:szCs w:val="20"/>
          <w:lang w:val="uk-UA"/>
        </w:rPr>
        <w:t xml:space="preserve">*Будь-які посилання в найменуванні та/або технічних характеристиках  на каталожний номер, виробників, конкретну торговельну марку, тип або виробників тощо передбачає надання  еквіваленту (технічні характеристики еквіваленту повинні відповідати технічним характеристикам встановленим замовником). У разі надання еквіваленту, Учасник в Тендерній пропозиції (технічній частині) повинен зазначити запропонований еквівалент та його технічні характеристики. Під «еквівалентом» Товару або його складових розуміється рівноцінний та рівнозначний Товар, такий  що повністю відповідає встановленим технічним характеристикам Замовника. </w:t>
      </w:r>
    </w:p>
    <w:p>
      <w:pPr>
        <w:pStyle w:val="Normal"/>
        <w:spacing w:before="0" w:after="0"/>
        <w:jc w:val="both"/>
        <w:rPr>
          <w:rFonts w:ascii="Times New Roman" w:hAnsi="Times New Roman"/>
          <w:i/>
          <w:i/>
          <w:iCs/>
          <w:sz w:val="20"/>
          <w:szCs w:val="20"/>
          <w:lang w:val="uk-UA"/>
        </w:rPr>
      </w:pPr>
      <w:r>
        <w:rPr>
          <w:rFonts w:ascii="Times New Roman" w:hAnsi="Times New Roman"/>
          <w:i/>
          <w:iCs/>
          <w:sz w:val="20"/>
          <w:szCs w:val="20"/>
          <w:lang w:val="uk-UA"/>
        </w:rPr>
        <w:t xml:space="preserve">*Усі документи, що надаються учасником повинні бути надані в повному обсязі, разом зі всіма додатками та їх невід’ємними частинами. </w:t>
      </w:r>
    </w:p>
    <w:p>
      <w:pPr>
        <w:pStyle w:val="Normal"/>
        <w:jc w:val="center"/>
        <w:rPr>
          <w:rFonts w:ascii="Times New Roman" w:hAnsi="Times New Roman"/>
          <w:sz w:val="24"/>
          <w:szCs w:val="24"/>
          <w:lang w:val="uk-UA"/>
        </w:rPr>
      </w:pPr>
      <w:r>
        <w:rPr>
          <w:rFonts w:ascii="Times New Roman" w:hAnsi="Times New Roman"/>
          <w:sz w:val="24"/>
          <w:szCs w:val="24"/>
          <w:lang w:val="uk-UA"/>
        </w:rPr>
        <w:t>ЗАГАЛЬНІ ВИМОГИ</w:t>
      </w:r>
    </w:p>
    <w:p>
      <w:pPr>
        <w:pStyle w:val="Normal"/>
        <w:spacing w:before="0" w:after="0"/>
        <w:jc w:val="both"/>
        <w:rPr>
          <w:rFonts w:ascii="Times New Roman" w:hAnsi="Times New Roman"/>
          <w:sz w:val="24"/>
          <w:szCs w:val="24"/>
          <w:lang w:val="uk-UA"/>
        </w:rPr>
      </w:pPr>
      <w:r>
        <w:rPr>
          <w:rFonts w:ascii="Times New Roman" w:hAnsi="Times New Roman"/>
          <w:sz w:val="24"/>
          <w:szCs w:val="24"/>
          <w:lang w:val="uk-UA"/>
        </w:rPr>
        <w:t>1.</w:t>
        <w:tab/>
        <w:t>При подачі еквіваленту ні форма випуску, ні кількість предмету закупівлі не може бути змінена. В разі подання еквіваленту на товар, учасник зобов´язаний надати  порівняльну таблицю з посиланням на конкретні пункти та сторінки підтверджуючих документів, що вимагаються замовником. В наданих документах кожна складова показників якості та технічних характеристик, встановлена замовником в вимогах до предмету закупівлі, повинна бути підтверджена.</w:t>
      </w:r>
    </w:p>
    <w:p>
      <w:pPr>
        <w:pStyle w:val="Normal"/>
        <w:spacing w:before="0" w:after="0"/>
        <w:jc w:val="both"/>
        <w:rPr>
          <w:b w:val="false"/>
          <w:bCs w:val="false"/>
        </w:rPr>
      </w:pPr>
      <w:r>
        <w:rPr>
          <w:rFonts w:ascii="Times New Roman" w:hAnsi="Times New Roman"/>
          <w:b w:val="false"/>
          <w:bCs w:val="false"/>
          <w:color w:val="000000"/>
          <w:sz w:val="24"/>
          <w:szCs w:val="24"/>
          <w:lang w:val="uk-UA"/>
        </w:rPr>
        <w:t>2.</w:t>
        <w:tab/>
        <w:t>Надати гарантійний лист про застосування заходів із захисту довкілля, про те, що товар буде поставлено із врахуванням екологічних вимог згідно чинного законодавства.</w:t>
      </w:r>
    </w:p>
    <w:p>
      <w:pPr>
        <w:pStyle w:val="Normal"/>
        <w:jc w:val="both"/>
        <w:rPr>
          <w:b w:val="false"/>
          <w:bCs w:val="false"/>
          <w:color w:val="000000"/>
          <w:lang w:val="uk-UA"/>
        </w:rPr>
      </w:pPr>
      <w:r>
        <w:rPr>
          <w:b w:val="false"/>
          <w:bCs w:val="false"/>
          <w:color w:val="000000"/>
          <w:lang w:val="uk-UA"/>
        </w:rPr>
      </w:r>
    </w:p>
    <w:p>
      <w:pPr>
        <w:pStyle w:val="Normal"/>
        <w:suppressAutoHyphens w:val="false"/>
        <w:spacing w:lineRule="auto" w:line="240" w:before="0" w:after="0"/>
        <w:ind w:firstLine="720"/>
        <w:jc w:val="both"/>
        <w:rPr>
          <w:rFonts w:ascii="Times New Roman" w:hAnsi="Times New Roman" w:eastAsia="Times New Roman"/>
          <w:sz w:val="24"/>
          <w:szCs w:val="24"/>
          <w:lang w:val="uk-UA" w:eastAsia="uk-UA"/>
        </w:rPr>
      </w:pPr>
      <w:r>
        <w:rPr>
          <w:rFonts w:eastAsia="Times New Roman" w:ascii="Times New Roman" w:hAnsi="Times New Roman"/>
          <w:sz w:val="24"/>
          <w:szCs w:val="24"/>
          <w:lang w:val="uk-UA" w:eastAsia="uk-UA"/>
        </w:rPr>
      </w:r>
    </w:p>
    <w:p>
      <w:pPr>
        <w:pStyle w:val="Normal"/>
        <w:spacing w:lineRule="auto" w:line="240" w:before="0" w:after="0"/>
        <w:rPr>
          <w:rFonts w:ascii="Times New Roman" w:hAnsi="Times New Roman"/>
          <w:b/>
          <w:bCs/>
          <w:sz w:val="24"/>
          <w:szCs w:val="24"/>
          <w:lang w:val="uk-UA"/>
        </w:rPr>
      </w:pPr>
      <w:r>
        <w:rPr>
          <w:rFonts w:ascii="Times New Roman" w:hAnsi="Times New Roman"/>
          <w:b/>
          <w:bCs/>
          <w:sz w:val="24"/>
          <w:szCs w:val="24"/>
          <w:lang w:val="uk-UA"/>
        </w:rPr>
      </w:r>
    </w:p>
    <w:p>
      <w:pPr>
        <w:pStyle w:val="Normal"/>
        <w:jc w:val="right"/>
        <w:rPr>
          <w:rFonts w:ascii="Times New Roman" w:hAnsi="Times New Roman"/>
          <w:b/>
          <w:bCs/>
          <w:sz w:val="24"/>
          <w:szCs w:val="24"/>
          <w:lang w:val="uk-UA"/>
        </w:rPr>
      </w:pPr>
      <w:r>
        <w:rPr>
          <w:rFonts w:ascii="Times New Roman" w:hAnsi="Times New Roman"/>
          <w:b/>
          <w:bCs/>
          <w:sz w:val="24"/>
          <w:szCs w:val="24"/>
          <w:lang w:val="uk-UA"/>
        </w:rPr>
      </w:r>
    </w:p>
    <w:p>
      <w:pPr>
        <w:pStyle w:val="Normal"/>
        <w:spacing w:before="0" w:after="160"/>
        <w:jc w:val="right"/>
        <w:rPr>
          <w:rFonts w:ascii="Times New Roman" w:hAnsi="Times New Roman"/>
          <w:b/>
          <w:bCs/>
          <w:sz w:val="24"/>
          <w:szCs w:val="24"/>
          <w:lang w:val="uk-UA"/>
        </w:rPr>
      </w:pPr>
      <w:r>
        <w:rPr>
          <w:rFonts w:ascii="Times New Roman" w:hAnsi="Times New Roman"/>
          <w:b/>
          <w:bCs/>
          <w:sz w:val="24"/>
          <w:szCs w:val="24"/>
          <w:lang w:val="uk-UA"/>
        </w:rPr>
      </w:r>
    </w:p>
    <w:sectPr>
      <w:type w:val="nextPage"/>
      <w:pgSz w:w="11906" w:h="16838"/>
      <w:pgMar w:left="1701" w:right="85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erif">
    <w:altName w:val="Times New Roman"/>
    <w:charset w:val="cc"/>
    <w:family w:val="swiss"/>
    <w:pitch w:val="variable"/>
  </w:font>
  <w:font w:name="Calibri Light">
    <w:charset w:val="cc"/>
    <w:family w:val="roman"/>
    <w:pitch w:val="variable"/>
  </w:font>
  <w:font w:name="Liberation Sans">
    <w:altName w:val="Arial"/>
    <w:charset w:val="cc"/>
    <w:family w:val="roman"/>
    <w:pitch w:val="variable"/>
  </w:font>
  <w:font w:name="Times New Roman">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4233"/>
    <w:pPr>
      <w:widowControl/>
      <w:suppressAutoHyphens w:val="true"/>
      <w:bidi w:val="0"/>
      <w:spacing w:lineRule="auto" w:line="252" w:before="0" w:after="160"/>
      <w:jc w:val="left"/>
    </w:pPr>
    <w:rPr>
      <w:rFonts w:ascii="Calibri" w:hAnsi="Calibri" w:eastAsia="Calibri" w:cs="Times New Roman"/>
      <w:color w:val="auto"/>
      <w:kern w:val="0"/>
      <w:sz w:val="20"/>
      <w:szCs w:val="20"/>
      <w:lang w:val="uk-UA" w:eastAsia="en-US" w:bidi="ar-SA"/>
      <w14:ligatures w14:val="none"/>
    </w:rPr>
  </w:style>
  <w:style w:type="paragraph" w:styleId="Heading1">
    <w:name w:val="Heading 1"/>
    <w:basedOn w:val="Style14"/>
    <w:next w:val="BodyText"/>
    <w:qFormat/>
    <w:pPr>
      <w:spacing w:before="240" w:after="120"/>
      <w:outlineLvl w:val="0"/>
    </w:pPr>
    <w:rPr>
      <w:rFonts w:ascii="Liberation Serif" w:hAnsi="Liberation Serif" w:eastAsia="Segoe UI" w:cs="Tahoma"/>
      <w:b/>
      <w:bCs/>
      <w:sz w:val="48"/>
      <w:szCs w:val="48"/>
    </w:rPr>
  </w:style>
  <w:style w:type="paragraph" w:styleId="Heading4">
    <w:name w:val="Heading 4"/>
    <w:basedOn w:val="Normal"/>
    <w:next w:val="BodyText"/>
    <w:qFormat/>
    <w:pPr>
      <w:keepNext w:val="true"/>
      <w:keepLines/>
      <w:widowControl w:val="false"/>
      <w:numPr>
        <w:ilvl w:val="3"/>
        <w:numId w:val="1"/>
      </w:numPr>
      <w:spacing w:before="240" w:after="40"/>
      <w:ind w:hanging="864" w:left="864" w:right="0"/>
      <w:contextualSpacing/>
      <w:outlineLvl w:val="3"/>
    </w:pPr>
    <w:rPr>
      <w:rFonts w:cs="Times New Roman"/>
      <w:b/>
      <w:szCs w:val="20"/>
      <w:lang w:bidi="ar-SA"/>
    </w:rPr>
  </w:style>
  <w:style w:type="character" w:styleId="DefaultParagraphFont" w:default="1">
    <w:name w:val="Default Paragraph Font"/>
    <w:uiPriority w:val="1"/>
    <w:semiHidden/>
    <w:unhideWhenUsed/>
    <w:qFormat/>
    <w:rPr/>
  </w:style>
  <w:style w:type="character" w:styleId="Style12" w:customStyle="1">
    <w:name w:val="Заголовок Знак"/>
    <w:basedOn w:val="DefaultParagraphFont"/>
    <w:uiPriority w:val="99"/>
    <w:qFormat/>
    <w:rsid w:val="001b4233"/>
    <w:rPr>
      <w:rFonts w:ascii="Calibri Light" w:hAnsi="Calibri Light" w:eastAsia="Times New Roman" w:cs="Times New Roman"/>
      <w:spacing w:val="-10"/>
      <w:kern w:val="2"/>
      <w:sz w:val="56"/>
      <w:szCs w:val="56"/>
      <w:lang w:val="uk-UA"/>
      <w14:ligatures w14:val="none"/>
    </w:rPr>
  </w:style>
  <w:style w:type="character" w:styleId="Strong">
    <w:name w:val="Strong"/>
    <w:qFormat/>
    <w:rsid w:val="001b4233"/>
    <w:rPr>
      <w:b/>
      <w:bCs w:val="false"/>
    </w:rPr>
  </w:style>
  <w:style w:type="character" w:styleId="Style13" w:customStyle="1">
    <w:name w:val="Абзац списка Знак"/>
    <w:link w:val="ListParagraph"/>
    <w:uiPriority w:val="34"/>
    <w:qFormat/>
    <w:locked/>
    <w:rsid w:val="001b4233"/>
    <w:rPr/>
  </w:style>
  <w:style w:type="character" w:styleId="Emphasis">
    <w:name w:val="Emphasis"/>
    <w:qFormat/>
    <w:rPr>
      <w:i/>
      <w:iCs/>
    </w:rPr>
  </w:style>
  <w:style w:type="character" w:styleId="1">
    <w:name w:val="Заголовок 1 Знак"/>
    <w:basedOn w:val="DefaultParagraphFont"/>
    <w:qFormat/>
    <w:rPr>
      <w:rFonts w:ascii="Calibri" w:hAnsi="Calibri" w:eastAsia="Calibri" w:cs="Calibri"/>
      <w:b/>
      <w:kern w:val="0"/>
      <w:sz w:val="48"/>
      <w:szCs w:val="48"/>
      <w:lang w:val="uk-UA" w:eastAsia="uk-UA"/>
      <w14:ligatures w14:val="none"/>
    </w:rPr>
  </w:style>
  <w:style w:type="character" w:styleId="Y2iqfc">
    <w:name w:val="y2iqfc"/>
    <w:basedOn w:val="DefaultParagraphFont"/>
    <w:qFormat/>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Покажчик"/>
    <w:basedOn w:val="Normal"/>
    <w:qFormat/>
    <w:pPr>
      <w:suppressLineNumbers/>
    </w:pPr>
    <w:rPr>
      <w:rFonts w:cs="Arial"/>
    </w:rPr>
  </w:style>
  <w:style w:type="paragraph" w:styleId="Title">
    <w:name w:val="Title"/>
    <w:basedOn w:val="Normal"/>
    <w:next w:val="Normal"/>
    <w:link w:val="Style12"/>
    <w:uiPriority w:val="99"/>
    <w:qFormat/>
    <w:rsid w:val="001b4233"/>
    <w:pPr>
      <w:spacing w:lineRule="auto" w:line="240" w:before="0" w:after="0"/>
      <w:contextualSpacing/>
    </w:pPr>
    <w:rPr>
      <w:rFonts w:ascii="Calibri Light" w:hAnsi="Calibri Light" w:eastAsia="Times New Roman"/>
      <w:spacing w:val="-10"/>
      <w:kern w:val="2"/>
      <w:sz w:val="56"/>
      <w:szCs w:val="56"/>
    </w:rPr>
  </w:style>
  <w:style w:type="paragraph" w:styleId="11" w:customStyle="1">
    <w:name w:val="Цитата1"/>
    <w:basedOn w:val="Normal"/>
    <w:uiPriority w:val="99"/>
    <w:qFormat/>
    <w:rsid w:val="001b4233"/>
    <w:pPr>
      <w:suppressAutoHyphens w:val="true"/>
      <w:spacing w:lineRule="auto" w:line="240" w:before="0" w:after="0"/>
      <w:ind w:firstLine="436" w:left="284" w:right="-58"/>
      <w:jc w:val="both"/>
    </w:pPr>
    <w:rPr>
      <w:rFonts w:ascii="Times New Roman" w:hAnsi="Times New Roman" w:eastAsia="Times New Roman"/>
      <w:sz w:val="24"/>
      <w:lang w:val="ru-RU" w:eastAsia="ar-SA"/>
    </w:rPr>
  </w:style>
  <w:style w:type="paragraph" w:styleId="ListParagraph">
    <w:name w:val="List Paragraph"/>
    <w:basedOn w:val="Normal"/>
    <w:link w:val="Style13"/>
    <w:uiPriority w:val="34"/>
    <w:qFormat/>
    <w:rsid w:val="001b4233"/>
    <w:pPr>
      <w:spacing w:lineRule="auto" w:line="252" w:before="0" w:after="160"/>
      <w:ind w:left="720"/>
      <w:contextualSpacing/>
    </w:pPr>
    <w:rPr>
      <w:rFonts w:ascii="Calibri" w:hAnsi="Calibri" w:eastAsia="Calibri" w:cs="" w:asciiTheme="minorHAnsi" w:cstheme="minorBidi" w:eastAsiaTheme="minorHAnsi" w:hAnsiTheme="minorHAnsi"/>
      <w:kern w:val="2"/>
      <w:sz w:val="22"/>
      <w:szCs w:val="22"/>
      <w:lang w:val="ru-RU"/>
      <w14:ligatures w14:val="standardContextual"/>
    </w:rPr>
  </w:style>
  <w:style w:type="paragraph" w:styleId="Style16">
    <w:name w:val="Вміст таблиці"/>
    <w:basedOn w:val="Normal"/>
    <w:qFormat/>
    <w:pPr>
      <w:widowControl w:val="false"/>
      <w:suppressLineNumbers/>
    </w:pPr>
    <w:rPr/>
  </w:style>
  <w:style w:type="paragraph" w:styleId="Style17">
    <w:name w:val="Заголовок таблиці"/>
    <w:basedOn w:val="Style16"/>
    <w:qFormat/>
    <w:pPr>
      <w:suppressLineNumbers/>
      <w:jc w:val="center"/>
    </w:pPr>
    <w:rPr>
      <w:b/>
      <w:bCs/>
    </w:rPr>
  </w:style>
  <w:style w:type="paragraph" w:styleId="Style18">
    <w:name w:val="Верхній і нижній колонтитули"/>
    <w:basedOn w:val="Normal"/>
    <w:qFormat/>
    <w:pPr/>
    <w:rPr/>
  </w:style>
  <w:style w:type="paragraph" w:styleId="Footer">
    <w:name w:val="Footer"/>
    <w:basedOn w:val="Normal"/>
    <w:pPr>
      <w:tabs>
        <w:tab w:val="clear" w:pos="708"/>
        <w:tab w:val="center" w:pos="4677" w:leader="none"/>
        <w:tab w:val="right" w:pos="9355" w:leader="none"/>
      </w:tabs>
    </w:pPr>
    <w:rPr>
      <w:lang w:val="ru-RU"/>
    </w:rPr>
  </w:style>
  <w:style w:type="paragraph" w:styleId="NormalWeb">
    <w:name w:val="Normal (Web)"/>
    <w:basedOn w:val="Normal"/>
    <w:qFormat/>
    <w:pPr>
      <w:spacing w:before="280" w:after="280"/>
    </w:pPr>
    <w:rPr>
      <w:lang w:val="ru-RU" w:eastAsia="zh-CN"/>
    </w:rPr>
  </w:style>
  <w:style w:type="paragraph" w:styleId="12">
    <w:name w:val="Абзац списка1"/>
    <w:basedOn w:val="Normal"/>
    <w:qFormat/>
    <w:pPr>
      <w:widowControl w:val="false"/>
      <w:suppressAutoHyphens w:val="false"/>
    </w:pPr>
    <w:rPr>
      <w:lang w:val="ru-RU" w:eastAsia="ru-RU"/>
    </w:rPr>
  </w:style>
  <w:style w:type="paragraph" w:styleId="Style19">
    <w:name w:val="Вміст рамки"/>
    <w:basedOn w:val="Normal"/>
    <w:qFormat/>
    <w:pPr/>
    <w:rPr/>
  </w:style>
  <w:style w:type="paragraph" w:styleId="NoSpacing">
    <w:name w:val="No Spacing"/>
    <w:qFormat/>
    <w:pPr>
      <w:widowControl/>
      <w:suppressAutoHyphens w:val="true"/>
      <w:bidi w:val="0"/>
      <w:spacing w:lineRule="auto" w:line="240" w:before="0" w:after="0"/>
      <w:jc w:val="left"/>
    </w:pPr>
    <w:rPr>
      <w:rFonts w:ascii="Calibri" w:hAnsi="Calibri" w:eastAsia="Times New Roman" w:cs="Calibri"/>
      <w:color w:val="auto"/>
      <w:kern w:val="0"/>
      <w:sz w:val="22"/>
      <w:szCs w:val="22"/>
      <w:lang w:val="uk-UA" w:eastAsia="zh-CN" w:bidi="ar-SA"/>
      <w14:ligatures w14:val="none"/>
    </w:rPr>
  </w:style>
  <w:style w:type="paragraph" w:styleId="Xfmc1">
    <w:name w:val="xfmc1"/>
    <w:basedOn w:val="Normal"/>
    <w:qFormat/>
    <w:pPr>
      <w:spacing w:lineRule="auto" w:line="240" w:beforeAutospacing="1" w:afterAutospacing="1"/>
    </w:pPr>
    <w:rPr>
      <w:rFonts w:ascii="Times New Roman" w:hAnsi="Times New Roman" w:eastAsia="Times New Roman" w:cs="Times New Roman"/>
      <w:sz w:val="24"/>
      <w:szCs w:val="24"/>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val="ru-RU" w:eastAsia="ru-RU"/>
    </w:rPr>
  </w:style>
  <w:style w:type="paragraph" w:styleId="Standard">
    <w:name w:val="Standard"/>
    <w:qFormat/>
    <w:pPr>
      <w:widowControl/>
      <w:suppressAutoHyphens w:val="true"/>
      <w:bidi w:val="0"/>
      <w:spacing w:lineRule="auto" w:line="259" w:before="0" w:after="160"/>
      <w:jc w:val="left"/>
      <w:textAlignment w:val="baseline"/>
    </w:pPr>
    <w:rPr>
      <w:rFonts w:ascii="Calibri" w:hAnsi="Calibri" w:eastAsia="SimSun" w:cs="Calibri"/>
      <w:color w:val="auto"/>
      <w:kern w:val="2"/>
      <w:sz w:val="22"/>
      <w:szCs w:val="22"/>
      <w:lang w:val="uk-UA" w:eastAsia="en-US" w:bidi="ar-SA"/>
    </w:rPr>
  </w:style>
  <w:style w:type="paragraph" w:styleId="Style20">
    <w:name w:val="Без интервала"/>
    <w:qFormat/>
    <w:pPr>
      <w:widowControl/>
      <w:suppressAutoHyphens w:val="true"/>
      <w:bidi w:val="0"/>
      <w:spacing w:before="0" w:after="0"/>
      <w:jc w:val="left"/>
    </w:pPr>
    <w:rPr>
      <w:rFonts w:ascii="Calibri" w:hAnsi="Calibri" w:eastAsia="Tahoma" w:cs="Times New Roman" w:asciiTheme="minorHAnsi" w:hAnsiTheme="minorHAnsi"/>
      <w:color w:val="00000A"/>
      <w:kern w:val="2"/>
      <w:sz w:val="22"/>
      <w:szCs w:val="22"/>
      <w:lang w:val="uk-UA" w:eastAsia="en-US" w:bidi="ar-SA"/>
      <w14:ligatures w14:val="standardContextual"/>
    </w:rPr>
  </w:style>
  <w:style w:type="paragraph" w:styleId="Cee1fbf7edfbe9">
    <w:name w:val="Оceбe1ыfbчf7нedыfbйe9"/>
    <w:qFormat/>
    <w:pPr>
      <w:widowControl w:val="false"/>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Web">
    <w:name w:val="Обычный (Web) Знак Знак Знак"/>
    <w:basedOn w:val="Normal"/>
    <w:next w:val="NormalWeb"/>
    <w:qFormat/>
    <w:pPr>
      <w:spacing w:lineRule="auto" w:line="240" w:beforeAutospacing="1" w:afterAutospacing="1"/>
    </w:pPr>
    <w:rPr>
      <w:rFonts w:ascii="Liberation Serif" w:hAnsi="Liberation Serif" w:eastAsia="Times New Roman"/>
      <w:color w:val="00000A"/>
      <w:sz w:val="24"/>
      <w:szCs w:val="20"/>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ov.e-tender.ua/tender/himichna-produkciya/UA-2024-06-14-006619-a-dezinfekczijni-zasoby"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106</TotalTime>
  <Application>LibreOffice/7.6.0.3$Windows_X86_64 LibreOffice_project/69edd8b8ebc41d00b4de3915dc82f8f0fc3b6265</Application>
  <AppVersion>15.0000</AppVersion>
  <Pages>5</Pages>
  <Words>1137</Words>
  <Characters>7735</Characters>
  <CharactersWithSpaces>8850</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2023-12-21T20:17:00Z</dcterms:created>
  <dc:creator>Yehor</dc:creator>
  <dc:description/>
  <dc:language>uk-UA</dc:language>
  <cp:lastModifiedBy/>
  <dcterms:modified xsi:type="dcterms:W3CDTF">2024-06-27T11:46:45Z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