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242424"/>
          <w:sz w:val="24"/>
          <w:szCs w:val="24"/>
          <w:lang w:eastAsia="uk-UA"/>
        </w:rPr>
        <w:t xml:space="preserve">закупівлі Спеціальне лікувальне харчування для хворих на фенілкетонурію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код </w:t>
      </w:r>
      <w:r>
        <w:rPr>
          <w:rFonts w:ascii="Times New Roman" w:hAnsi="Times New Roman"/>
          <w:color w:val="4545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454545"/>
          <w:sz w:val="24"/>
          <w:szCs w:val="24"/>
        </w:rPr>
        <w:t>ДК 021:2015:</w:t>
      </w:r>
      <w:r>
        <w:rPr>
          <w:rFonts w:ascii="Times New Roman" w:hAnsi="Times New Roman"/>
          <w:b/>
          <w:bCs/>
          <w:color w:val="454545"/>
          <w:sz w:val="24"/>
          <w:szCs w:val="24"/>
          <w:lang w:eastAsia="uk-UA"/>
        </w:rPr>
        <w:t xml:space="preserve">ДК 021:2015:15880000-0: Спеціальні продукти харчування, збагачені поживними речовинами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Спеціальне лікувальне харчування для хворих на фенілкетонурію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color w:val="454545"/>
          <w:sz w:val="24"/>
          <w:szCs w:val="24"/>
          <w:lang w:eastAsia="uk-UA"/>
        </w:rPr>
        <w:t> </w:t>
      </w:r>
      <w:r>
        <w:rPr>
          <w:rFonts w:ascii="Times New Roman" w:hAnsi="Times New Roman"/>
          <w:b/>
          <w:bCs/>
          <w:color w:val="454545"/>
          <w:sz w:val="24"/>
          <w:szCs w:val="24"/>
          <w:lang w:eastAsia="uk-UA"/>
        </w:rPr>
        <w:t xml:space="preserve">ДК 021:2015:15880000-0: Спеціальні продукти харчування, збагачені поживними речовинами 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u w:val="single"/>
          <w:shd w:fill="FFFFFF" w:val="clear"/>
          <w:lang w:eastAsia="uk-UA"/>
        </w:rPr>
        <w:t> 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bookmarkStart w:id="1" w:name="selectable"/>
      <w:bookmarkEnd w:id="1"/>
      <w:r>
        <w:rPr>
          <w:rFonts w:ascii="Times New Roman" w:hAnsi="Times New Roman"/>
          <w:color w:val="454545"/>
          <w:sz w:val="24"/>
          <w:szCs w:val="24"/>
          <w:u w:val="single"/>
          <w:shd w:fill="F0F5F2" w:val="clear"/>
          <w:lang w:eastAsia="uk-UA"/>
        </w:rPr>
        <w:t xml:space="preserve">UA-2025-03-03-009134-a  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       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9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32670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,00  грн. з ПДВ 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single"/>
          <w:shd w:fill="FFFFFF" w:val="clear"/>
          <w:lang w:eastAsia="ru-RU" w:bidi="hi-IN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single"/>
          <w:shd w:fill="FFFFFF" w:val="clear"/>
          <w:lang w:val="ru-RU" w:eastAsia="ru-RU" w:bidi="hi-IN"/>
        </w:rPr>
        <w:t>м</w:t>
      </w:r>
      <w:r>
        <w:rPr>
          <w:rFonts w:eastAsia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single"/>
          <w:shd w:fill="FFFFFF" w:val="clear"/>
          <w:lang w:eastAsia="ru-RU" w:bidi="hi-IN"/>
        </w:rPr>
        <w:t>ісцевий бюджет (кошти місцевої теріторіальної громади)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9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32670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,00  грн. з ПДВ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8"/>
              <w:spacing w:before="0" w:after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>поставки 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 xml:space="preserve"> до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5</w:t>
      </w:r>
      <w:r>
        <w:rPr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iCs/>
          <w:sz w:val="24"/>
          <w:szCs w:val="24"/>
        </w:rPr>
        <w:t>Спеціальне лікувальне харчування для хворих на фенілкетонурію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ДК 021:2015 код 15880000-0 Спеціальні продукти харчування, збагачені поживними речовинами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r>
    </w:p>
    <w:p>
      <w:pPr>
        <w:pStyle w:val="NoSpacing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Критерії підбору спеціальних продуктів лікувального харчування для дітей, хворих на фенілкетонурію, розроблені на основі Наказ МОЗ України від 17.12.2019 № 2498 «Про затвердження методичних рекомендацій з планування та розрахунку потреби в лікарських засобах, продуктах спеціального харчування та виробах медичного призначення, що закуповуються за рахунок коштів державного та місцевого бюджетів», а саме «Методичні рекомендації планування та розрахунку потреби у продуктах спеціального харчування для лікування хворих на фенілкетонурію». Спеціалізовані продукти лікувального харчування призначаються пацієнтам з ФКУ індивідуалізовано, залежно від клінічного перебігу захворювання та індивідуальної переносимості продукту: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394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744"/>
        <w:gridCol w:w="2001"/>
        <w:gridCol w:w="1968"/>
      </w:tblGrid>
      <w:tr>
        <w:trPr>
          <w:trHeight w:val="366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Найменування товару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Одиниці виміру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 w:eastAsia="ru-RU"/>
              </w:rPr>
              <w:t>Кількість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230" w:leader="none"/>
              </w:tabs>
              <w:spacing w:lineRule="auto" w:line="240" w:before="0" w:after="0"/>
              <w:rPr>
                <w:rFonts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</w:rPr>
              <w:t>ФКУ Нутрі 3 Концентрат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230" w:leader="none"/>
              </w:tabs>
              <w:spacing w:lineRule="auto" w:line="240" w:before="0" w:after="0"/>
              <w:rPr/>
            </w:pPr>
            <w:bookmarkStart w:id="2" w:name="_Hlk132114354"/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спеціальний продукт харчування </w:t>
            </w:r>
            <w:r>
              <w:rPr>
                <w:rFonts w:cs="Times New Roman"/>
                <w:sz w:val="24"/>
                <w:szCs w:val="24"/>
                <w:shd w:fill="FFFFFF" w:val="clear"/>
              </w:rPr>
              <w:t xml:space="preserve">для дітей від 8 років, підлітків та дорослих, 500 г. </w:t>
            </w:r>
            <w:bookmarkEnd w:id="2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або еквівалент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банки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230" w:leader="none"/>
              </w:tabs>
              <w:spacing w:lineRule="auto" w:line="240" w:before="0" w:after="0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bookmarkStart w:id="3" w:name="_Hlk151370399"/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ФКУ Нутрі 3 Енерджі </w:t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23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спеціальний продукт харчування для дітей від 9 років та дорослих, включаючи вагітних жінок, 454 г.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або еквівалент</w:t>
            </w:r>
            <w:bookmarkEnd w:id="3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банки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 w:eastAsia="ru-RU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Усього: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банки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  <w:lang w:val="ru-RU" w:eastAsia="ru-RU"/>
              </w:rPr>
            </w:r>
          </w:p>
        </w:tc>
      </w:tr>
    </w:tbl>
    <w:p>
      <w:pPr>
        <w:pStyle w:val="Normal"/>
        <w:tabs>
          <w:tab w:val="clear" w:pos="708"/>
          <w:tab w:val="right" w:pos="0" w:leader="none"/>
        </w:tabs>
        <w:spacing w:lineRule="auto" w:line="240" w:before="0" w:after="0"/>
        <w:ind w:firstLine="709" w:right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right" w:pos="0" w:leader="none"/>
        </w:tabs>
        <w:spacing w:lineRule="auto" w:line="240" w:before="0" w:after="0"/>
        <w:ind w:firstLine="709" w:right="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Запропонований учасником товар за медико-технічними властивостями повинен відповідати наступним медико-технічним вимогам:</w:t>
      </w:r>
    </w:p>
    <w:p>
      <w:pPr>
        <w:pStyle w:val="Normal"/>
        <w:tabs>
          <w:tab w:val="clear" w:pos="708"/>
          <w:tab w:val="right" w:pos="0" w:leader="none"/>
        </w:tabs>
        <w:spacing w:lineRule="auto" w:line="240" w:before="0" w:after="0"/>
        <w:ind w:firstLine="709" w:right="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</w:r>
      <w:bookmarkStart w:id="4" w:name="_GoBack_Copy_1"/>
      <w:bookmarkStart w:id="5" w:name="_GoBack_Copy_1"/>
      <w:bookmarkEnd w:id="5"/>
    </w:p>
    <w:p>
      <w:pPr>
        <w:pStyle w:val="Normal"/>
        <w:widowControl w:val="false"/>
        <w:shd w:fill="FFFFFF" w:val="clear"/>
        <w:tabs>
          <w:tab w:val="clear" w:pos="708"/>
          <w:tab w:val="left" w:pos="230" w:leader="none"/>
        </w:tabs>
        <w:spacing w:lineRule="auto" w:line="240" w:before="0" w:after="0"/>
        <w:jc w:val="both"/>
        <w:rPr/>
      </w:pPr>
      <w:r>
        <w:rPr>
          <w:rFonts w:cs="Times New Roman"/>
          <w:b/>
          <w:sz w:val="24"/>
          <w:szCs w:val="24"/>
        </w:rPr>
        <w:t>ФКУ Нутрі 3 Концентрат спеціальний продукт харчування для дітей від 8 років, підлітків та дорослих, 500 г. або еквівалент</w:t>
      </w:r>
      <w:r>
        <w:rPr>
          <w:rFonts w:cs="Times New Roman"/>
          <w:b/>
          <w:sz w:val="24"/>
          <w:szCs w:val="24"/>
          <w:shd w:fill="FFFFFF" w:val="clear"/>
        </w:rPr>
        <w:t>:</w:t>
      </w:r>
      <w:r>
        <w:rPr>
          <w:rFonts w:cs="Times New Roman"/>
          <w:sz w:val="24"/>
          <w:szCs w:val="24"/>
        </w:rPr>
        <w:tab/>
        <w:tab/>
      </w:r>
    </w:p>
    <w:p>
      <w:pPr>
        <w:pStyle w:val="12"/>
        <w:numPr>
          <w:ilvl w:val="0"/>
          <w:numId w:val="1"/>
        </w:numPr>
        <w:spacing w:lineRule="auto" w:line="240" w:before="0" w:after="0"/>
        <w:ind w:hanging="284" w:left="993" w:right="0"/>
        <w:contextualSpacing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Вміст білка (в еквіваленті) у 100 грамах сухого продукту </w:t>
      </w:r>
      <w:r>
        <w:rPr>
          <w:bCs/>
          <w:sz w:val="24"/>
          <w:szCs w:val="24"/>
          <w:lang w:val="uk-UA"/>
        </w:rPr>
        <w:t>не більше 70 грам.</w:t>
      </w:r>
    </w:p>
    <w:p>
      <w:pPr>
        <w:pStyle w:val="12"/>
        <w:numPr>
          <w:ilvl w:val="0"/>
          <w:numId w:val="1"/>
        </w:numPr>
        <w:spacing w:lineRule="auto" w:line="240" w:before="0" w:after="0"/>
        <w:ind w:hanging="284" w:left="993" w:right="0"/>
        <w:contextualSpacing/>
        <w:jc w:val="both"/>
        <w:rPr>
          <w:rFonts w:cs="Times New Roman"/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Призначений для дітей від 8 років та дорослих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Набір амінокислот (кількость) в суміші - оптимальний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Вміст суми незамінних та напівзамінних амінокислот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Присутність фенілаланіну допускається – згідно нормативів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Вміст суми амінокислот, які вміщують сірку (метіонін та цистеїн),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Вміст тирозину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Наявність в суміші необхідних мінеральних речовин, мікроелементів і вітамінів у збалансованій кількості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>Продукт повинен бути вироблений з дотриманням умов належного виробництва та бути безпечним для використання.</w:t>
      </w:r>
    </w:p>
    <w:p>
      <w:pPr>
        <w:pStyle w:val="Normal"/>
        <w:spacing w:lineRule="auto" w:line="240" w:before="0" w:after="0"/>
        <w:ind w:left="709" w:right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Normal"/>
        <w:widowControl w:val="false"/>
        <w:shd w:fill="FFFFFF" w:val="clear"/>
        <w:tabs>
          <w:tab w:val="clear" w:pos="708"/>
          <w:tab w:val="left" w:pos="230" w:leader="none"/>
        </w:tabs>
        <w:spacing w:lineRule="auto" w:line="240" w:before="0" w:after="0"/>
        <w:jc w:val="both"/>
        <w:rPr/>
      </w:pPr>
      <w:r>
        <w:rPr>
          <w:rFonts w:cs="Times New Roman"/>
          <w:b/>
          <w:sz w:val="24"/>
          <w:szCs w:val="24"/>
        </w:rPr>
        <w:t>ФКУ Нутрі 3 Енерджі спеціальний продукт харчування для дітей від 9 років та дорослих, включаючи вагітних жінок, 454 г. або еквівалент</w:t>
      </w:r>
      <w:r>
        <w:rPr>
          <w:rFonts w:cs="Times New Roman"/>
          <w:b/>
          <w:sz w:val="24"/>
          <w:szCs w:val="24"/>
          <w:shd w:fill="FFFFFF" w:val="clear"/>
        </w:rPr>
        <w:t>:</w:t>
      </w:r>
      <w:r>
        <w:rPr>
          <w:rFonts w:cs="Times New Roman"/>
          <w:sz w:val="24"/>
          <w:szCs w:val="24"/>
        </w:rPr>
        <w:tab/>
        <w:tab/>
      </w:r>
    </w:p>
    <w:p>
      <w:pPr>
        <w:pStyle w:val="12"/>
        <w:numPr>
          <w:ilvl w:val="0"/>
          <w:numId w:val="2"/>
        </w:numPr>
        <w:spacing w:lineRule="auto" w:line="240" w:before="0" w:after="0"/>
        <w:ind w:hanging="219" w:left="928" w:right="0"/>
        <w:contextualSpacing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Вміст білка (в еквіваленті) у 100 грамах сухого продукту </w:t>
      </w:r>
      <w:r>
        <w:rPr>
          <w:sz w:val="24"/>
          <w:szCs w:val="24"/>
        </w:rPr>
        <w:t xml:space="preserve">не </w:t>
      </w:r>
      <w:r>
        <w:rPr>
          <w:sz w:val="24"/>
          <w:szCs w:val="24"/>
          <w:lang w:val="uk-UA"/>
        </w:rPr>
        <w:t>більше</w:t>
      </w:r>
      <w:r>
        <w:rPr>
          <w:sz w:val="24"/>
          <w:szCs w:val="24"/>
        </w:rPr>
        <w:t xml:space="preserve"> 35,4 грам</w:t>
      </w:r>
      <w:r>
        <w:rPr>
          <w:sz w:val="24"/>
          <w:szCs w:val="24"/>
          <w:lang w:val="uk-UA"/>
        </w:rPr>
        <w:t>.</w:t>
      </w:r>
    </w:p>
    <w:p>
      <w:pPr>
        <w:pStyle w:val="12"/>
        <w:numPr>
          <w:ilvl w:val="0"/>
          <w:numId w:val="2"/>
        </w:numPr>
        <w:spacing w:lineRule="auto" w:line="240" w:before="0" w:after="0"/>
        <w:ind w:hanging="219" w:left="928" w:right="0"/>
        <w:contextualSpacing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Призначений для дітей від 9 років та дорослих, включаючи вагітних жінок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Набір амінокислот (кількость) в суміші - оптимальний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Вміст суми незамінних та напівзамінних амінокислот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Присутність фенілаланіну допускається – згідно нормативів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Вміст суми амінокислот, які вміщують сірку (метіонін та цистеїн),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Вміст тирозину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Наявність в суміші необхідних мінеральних речовин, мікроелементів і вітамінів у збалансованій кількості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left="993" w:right="0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>Продукт повинен бути вироблений з дотриманням умов належного виробництва та бути безпечним для використання.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Для підтвердження учасник надає гарантійний лист про відповідність вищезазначених вимог.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Загальні вимоги : </w:t>
      </w:r>
    </w:p>
    <w:p>
      <w:pPr>
        <w:pStyle w:val="BodyTextIndent"/>
        <w:tabs>
          <w:tab w:val="clear" w:pos="708"/>
          <w:tab w:val="left" w:pos="720" w:leader="none"/>
        </w:tabs>
        <w:spacing w:before="0" w:after="0"/>
        <w:ind w:firstLine="720" w:left="0" w:right="-1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1. Товар має бути зареєстрований в Україні. Для підтвердження учасник надає копію сертифіката відповідності спеціальних харчових продуктів або копію документу щодо відповідності товару вимогам діючого санітарного законодавства, у разі якщо ця норма є обов’язковою відповідно до норм діючого законодавства.</w:t>
      </w:r>
    </w:p>
    <w:p>
      <w:pPr>
        <w:pStyle w:val="BodyTextIndent"/>
        <w:tabs>
          <w:tab w:val="clear" w:pos="708"/>
          <w:tab w:val="left" w:pos="720" w:leader="none"/>
        </w:tabs>
        <w:spacing w:before="0" w:after="0"/>
        <w:ind w:firstLine="720" w:left="0" w:right="-1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2. Товар повинен мати підтвердження якості виробничого процесу даних продуктів. Для підтвердження учасник надає копію міжнародного сертифікату якості на товар, у разі якщо ця норма є обов’язковою відповідно до норм діючого законодавства.</w:t>
      </w:r>
    </w:p>
    <w:p>
      <w:pPr>
        <w:pStyle w:val="BodyTextIndent"/>
        <w:tabs>
          <w:tab w:val="clear" w:pos="708"/>
          <w:tab w:val="left" w:pos="720" w:leader="none"/>
        </w:tabs>
        <w:spacing w:before="0" w:after="0"/>
        <w:ind w:firstLine="720" w:left="0" w:right="-1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3. Товар повинен мати інструкцію з його застосування (текст етикетування). Для підтвердження учасник надає копію інструкції з використання (тексту етикетування).</w:t>
      </w:r>
    </w:p>
    <w:p>
      <w:pPr>
        <w:pStyle w:val="BodyTextIndent"/>
        <w:tabs>
          <w:tab w:val="clear" w:pos="708"/>
          <w:tab w:val="left" w:pos="720" w:leader="none"/>
        </w:tabs>
        <w:spacing w:before="0" w:after="0"/>
        <w:ind w:firstLine="720" w:left="0" w:right="-1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4. У разі, якщо учасник пропонує до закупівлі еквівалент, він повинен надати заключення про еквівалентність, видане державною установою, яка акредитована на проведення робіт із гігієнічної регламентації.</w:t>
      </w:r>
    </w:p>
    <w:p>
      <w:pPr>
        <w:pStyle w:val="BodyTextIndent"/>
        <w:tabs>
          <w:tab w:val="clear" w:pos="708"/>
          <w:tab w:val="left" w:pos="720" w:leader="none"/>
        </w:tabs>
        <w:spacing w:before="0" w:after="0"/>
        <w:ind w:firstLine="720" w:left="0" w:right="-1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5. Термін придатності товару на момент поставки повинен становити не менше 12 місяців від встановленого інструкцією терміну придатності. Для підтвердження учасник надає гарантійний лист про термін придатності товару.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bCs/>
          <w:iCs/>
          <w:sz w:val="24"/>
          <w:szCs w:val="24"/>
        </w:rPr>
        <w:t xml:space="preserve">             </w:t>
      </w:r>
      <w:r>
        <w:rPr>
          <w:rFonts w:eastAsia="MS Mincho" w:cs="Times New Roman"/>
          <w:bCs/>
          <w:iCs/>
          <w:sz w:val="24"/>
          <w:szCs w:val="24"/>
        </w:rPr>
        <w:t xml:space="preserve">6. </w:t>
      </w:r>
      <w:r>
        <w:rPr>
          <w:rFonts w:eastAsia="Times New Roman" w:cs="Times New Roman"/>
          <w:sz w:val="24"/>
          <w:szCs w:val="24"/>
        </w:rPr>
        <w:t>Строк поставки предмету закупівлі повинен становити не більше 10 днів з моменту отримання письмової заявки. Для підтвердження учасник надає гарантійний лист про строк поставки предмету закупівлі.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eastAsia="MS Mincho" w:cs="Times New Roman"/>
          <w:bCs/>
          <w:iCs/>
          <w:sz w:val="24"/>
          <w:szCs w:val="24"/>
        </w:rPr>
      </w:pPr>
      <w:r>
        <w:rPr>
          <w:rFonts w:eastAsia="MS Mincho" w:cs="Times New Roman"/>
          <w:bCs/>
          <w:iCs/>
          <w:sz w:val="24"/>
          <w:szCs w:val="24"/>
        </w:rPr>
        <w:t>7. Запропонований товар повинен відповідати вимогам чинного законодавства із захисту довкілля. Для підтвердження учасник надає лист в довільній формі про застосування заходів із захисту довкілля.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eastAsia="MS Mincho" w:cs="Times New Roman"/>
          <w:bCs/>
          <w:iCs/>
          <w:sz w:val="24"/>
          <w:szCs w:val="24"/>
        </w:rPr>
      </w:pPr>
      <w:r>
        <w:rPr>
          <w:rFonts w:eastAsia="MS Mincho" w:cs="Times New Roman"/>
          <w:bCs/>
          <w:iCs/>
          <w:sz w:val="24"/>
          <w:szCs w:val="24"/>
        </w:rPr>
        <w:t>8. При постачанні товару цілісність оригінальної  заводської  упаковки та якісне оформлення повинно бути без пошкоджень.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eastAsia="MS Mincho" w:cs="Times New Roman"/>
          <w:bCs/>
          <w:iCs/>
          <w:sz w:val="24"/>
          <w:szCs w:val="24"/>
        </w:rPr>
      </w:pPr>
      <w:r>
        <w:rPr>
          <w:rFonts w:eastAsia="MS Mincho" w:cs="Times New Roman"/>
          <w:bCs/>
          <w:iCs/>
          <w:sz w:val="24"/>
          <w:szCs w:val="24"/>
        </w:rPr>
        <w:t>9. Доставка товарів транспортом постачальника, завантажувально-розвантажувальні роботи за рахунок постачальника.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0" w:after="0"/>
        <w:ind w:firstLine="720" w:right="0"/>
        <w:jc w:val="both"/>
        <w:rPr>
          <w:rFonts w:eastAsia="Times New Roman" w:cs="Times New Roman"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0" w:after="0"/>
        <w:ind w:firstLine="720" w:right="0"/>
        <w:jc w:val="both"/>
        <w:rPr>
          <w:rFonts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shd w:fill="FDFEFD" w:val="clear"/>
          <w:lang w:eastAsia="ru-RU"/>
        </w:rPr>
      </w:pPr>
      <w:r>
        <w:rPr>
          <w:rFonts w:eastAsia="Times New Roman" w:cs="Times New Roman"/>
          <w:sz w:val="24"/>
          <w:szCs w:val="24"/>
          <w:lang w:val="ru-RU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5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4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5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21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paragraph" w:styleId="BodyTextIndent">
    <w:name w:val="Body Text Indent"/>
    <w:basedOn w:val="Normal"/>
    <w:pPr>
      <w:spacing w:lineRule="auto" w:line="240" w:before="0" w:after="120"/>
      <w:ind w:hanging="0" w:left="283" w:right="0"/>
    </w:pPr>
    <w:rPr>
      <w:rFonts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LibreOffice/7.6.0.3$Windows_X86_64 LibreOffice_project/69edd8b8ebc41d00b4de3915dc82f8f0fc3b6265</Application>
  <AppVersion>15.0000</AppVersion>
  <Pages>4</Pages>
  <Words>1096</Words>
  <Characters>7380</Characters>
  <CharactersWithSpaces>8484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2025-03-13T15:38:42Z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