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ascii="Times New Roman" w:hAnsi="Times New Roman"/>
          <w:b/>
          <w:bCs w:val="false"/>
          <w:color w:val="auto"/>
          <w:sz w:val="26"/>
          <w:szCs w:val="26"/>
          <w:lang w:val="uk-UA" w:eastAsia="uk-UA"/>
        </w:rPr>
        <w:t xml:space="preserve"> Медичне обладнання ДК 021:2015:  33190000-8  Медичне обладнання та вироби медичного призначення різні</w:t>
      </w:r>
      <w:r>
        <w:rPr>
          <w:rFonts w:cs="Times New Roman" w:ascii="Times New Roman" w:hAnsi="Times New Roman"/>
          <w:b/>
          <w:bCs/>
          <w:i w:val="false"/>
          <w:iCs w:val="false"/>
          <w:color w:val="000000"/>
          <w:sz w:val="24"/>
          <w:szCs w:val="24"/>
          <w:u w:val="none"/>
          <w:lang w:eastAsia="uk-UA"/>
        </w:rPr>
        <w:t xml:space="preserve"> </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ascii="Times New Roman" w:hAnsi="Times New Roman"/>
          <w:b/>
          <w:bCs/>
          <w:color w:val="auto"/>
          <w:sz w:val="26"/>
          <w:szCs w:val="26"/>
          <w:lang w:val="uk-UA" w:eastAsia="uk-UA"/>
        </w:rPr>
        <w:t xml:space="preserve"> Медичне обладнання ДК 021:2015:  33190000-8  Медичне обладнання та вироби медичного призначення різні</w:t>
      </w:r>
    </w:p>
    <w:p>
      <w:pPr>
        <w:pStyle w:val="Normal"/>
        <w:jc w:val="both"/>
        <w:rPr>
          <w:color w:val="000000"/>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hyperlink r:id="rId2">
        <w:r>
          <w:rPr>
            <w:rStyle w:val="Hyperlink"/>
            <w:rFonts w:ascii="Times New Roman" w:hAnsi="Times New Roman"/>
            <w:color w:val="000000"/>
            <w:sz w:val="24"/>
            <w:szCs w:val="24"/>
            <w:u w:val="single"/>
            <w:shd w:fill="F0F5F2" w:val="clear"/>
            <w:lang w:eastAsia="uk-UA"/>
          </w:rPr>
          <w:t>UA-2025-05-05-006888-a</w:t>
        </w:r>
      </w:hyperlink>
      <w:r>
        <w:rPr>
          <w:rFonts w:ascii="Times New Roman" w:hAnsi="Times New Roman"/>
          <w:color w:val="000000"/>
          <w:sz w:val="24"/>
          <w:szCs w:val="24"/>
          <w:u w:val="single"/>
          <w:shd w:fill="F0F5F2" w:val="clear"/>
          <w:lang w:eastAsia="uk-UA"/>
        </w:rPr>
        <w:t xml:space="preserve"> </w:t>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ascii="Times New Roman" w:hAnsi="Times New Roman"/>
          <w:color w:val="000000"/>
          <w:sz w:val="24"/>
          <w:szCs w:val="24"/>
          <w:u w:val="none"/>
          <w:lang w:val="uk-UA" w:eastAsia="uk-UA"/>
        </w:rPr>
        <w:t>10550</w:t>
      </w:r>
      <w:r>
        <w:rPr>
          <w:rFonts w:ascii="Times New Roman" w:hAnsi="Times New Roman"/>
          <w:color w:val="000000"/>
          <w:sz w:val="24"/>
          <w:szCs w:val="24"/>
          <w:u w:val="none"/>
          <w:lang w:eastAsia="uk-UA"/>
        </w:rPr>
        <w:t>,00  грн з ПДВ</w:t>
      </w:r>
    </w:p>
    <w:p>
      <w:pPr>
        <w:pStyle w:val="12"/>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20"/>
              <w:spacing w:before="0" w:after="0"/>
              <w:ind w:hanging="0" w:left="0" w:right="0"/>
              <w:rPr>
                <w:color w:val="000000"/>
              </w:rPr>
            </w:pPr>
            <w:r>
              <w:rPr>
                <w:color w:val="000000"/>
              </w:rPr>
            </w:r>
          </w:p>
        </w:tc>
      </w:tr>
    </w:tbl>
    <w:p>
      <w:pPr>
        <w:pStyle w:val="12"/>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5</w:t>
      </w:r>
      <w:r>
        <w:rPr>
          <w:b/>
          <w:bCs/>
          <w:color w:val="000000"/>
          <w:szCs w:val="24"/>
          <w:lang w:eastAsia="uk-UA"/>
        </w:rPr>
        <w:t xml:space="preserve"> року.</w:t>
      </w:r>
    </w:p>
    <w:p>
      <w:pPr>
        <w:pStyle w:val="Normal"/>
        <w:spacing w:before="0" w:after="200"/>
        <w:contextualSpacing/>
        <w:jc w:val="center"/>
        <w:rPr>
          <w:b/>
          <w:bCs/>
          <w:sz w:val="24"/>
          <w:szCs w:val="24"/>
        </w:rPr>
      </w:pPr>
      <w:r>
        <w:rPr>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p>
      <w:pPr>
        <w:pStyle w:val="Cee1fbf7edfbe9"/>
        <w:jc w:val="both"/>
        <w:rPr/>
      </w:pPr>
      <w:r>
        <w:rPr>
          <w:b/>
          <w:color w:val="auto"/>
          <w:sz w:val="22"/>
          <w:szCs w:val="22"/>
          <w:lang w:val="uk-UA"/>
        </w:rPr>
        <w:t xml:space="preserve">                    </w:t>
      </w:r>
      <w:r>
        <w:rPr>
          <w:b/>
          <w:color w:val="auto"/>
          <w:sz w:val="26"/>
          <w:szCs w:val="26"/>
          <w:lang w:val="uk-UA"/>
        </w:rPr>
        <w:t xml:space="preserve">  </w:t>
      </w:r>
      <w:r>
        <w:rPr>
          <w:b/>
          <w:color w:val="auto"/>
          <w:sz w:val="26"/>
          <w:szCs w:val="26"/>
          <w:lang w:val="uk-UA"/>
        </w:rPr>
        <w:t>Медичне обладнання ДК 021:2015:  33190000-8  Медичне обладнання та вироби медичного призначення різні</w:t>
      </w:r>
    </w:p>
    <w:p>
      <w:pPr>
        <w:pStyle w:val="Normal"/>
        <w:ind w:left="360" w:right="0"/>
        <w:jc w:val="center"/>
        <w:rPr>
          <w:b/>
        </w:rPr>
      </w:pPr>
      <w:r>
        <w:rPr>
          <w:b/>
        </w:rPr>
        <w:t>І. Загальні вимоги</w:t>
      </w:r>
    </w:p>
    <w:p>
      <w:pPr>
        <w:pStyle w:val="Normal"/>
        <w:jc w:val="both"/>
        <w:rPr/>
      </w:pPr>
      <w:r>
        <w:rPr>
          <w:color w:val="000000"/>
        </w:rPr>
        <w:t xml:space="preserve">1. Товар, 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 (На підтвердження Учасник повинен надати копію(ї) свідоцтва про державну реєстрацію з додатками (за наявності) та, якщо це передбачено діючим законодавством України, декларацію відповідності </w:t>
      </w:r>
      <w:r>
        <w:rPr/>
        <w:t xml:space="preserve">згiдно Технiчного регламенту  щодо медичних виробiв для дiагностики iп vitro затвердженого </w:t>
      </w:r>
      <w:r>
        <w:rPr>
          <w:color w:val="000000"/>
        </w:rPr>
        <w:t xml:space="preserve">постановою Кабінету Міністрів України від 02.10.2013 № 754. </w:t>
      </w:r>
    </w:p>
    <w:p>
      <w:pPr>
        <w:pStyle w:val="Normal"/>
        <w:shd w:fill="FFFFFF" w:val="clear"/>
        <w:ind w:right="-1"/>
        <w:jc w:val="both"/>
        <w:rPr>
          <w:color w:val="000000"/>
        </w:rPr>
      </w:pPr>
      <w:r>
        <w:rPr>
          <w:color w:val="000000"/>
        </w:rPr>
        <w:t>2. З 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w:t>
      </w:r>
    </w:p>
    <w:tbl>
      <w:tblPr>
        <w:tblW w:w="9696" w:type="dxa"/>
        <w:jc w:val="left"/>
        <w:tblInd w:w="-40" w:type="dxa"/>
        <w:tblLayout w:type="fixed"/>
        <w:tblCellMar>
          <w:top w:w="0" w:type="dxa"/>
          <w:left w:w="108" w:type="dxa"/>
          <w:bottom w:w="0" w:type="dxa"/>
          <w:right w:w="108" w:type="dxa"/>
        </w:tblCellMar>
      </w:tblPr>
      <w:tblGrid>
        <w:gridCol w:w="2477"/>
        <w:gridCol w:w="2455"/>
        <w:gridCol w:w="3000"/>
        <w:gridCol w:w="852"/>
        <w:gridCol w:w="912"/>
      </w:tblGrid>
      <w:tr>
        <w:trPr>
          <w:trHeight w:val="571" w:hRule="atLeast"/>
        </w:trPr>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sz w:val="16"/>
                <w:szCs w:val="16"/>
              </w:rPr>
            </w:pPr>
            <w:bookmarkStart w:id="1" w:name="_GoBack_Copy_2"/>
            <w:bookmarkEnd w:id="1"/>
            <w:r>
              <w:rPr>
                <w:rFonts w:eastAsia="Times New Roman"/>
                <w:b/>
                <w:sz w:val="16"/>
                <w:szCs w:val="16"/>
              </w:rPr>
              <w:t>НК 024:2023</w:t>
            </w:r>
          </w:p>
        </w:tc>
        <w:tc>
          <w:tcPr>
            <w:tcW w:w="24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sz w:val="16"/>
                <w:szCs w:val="16"/>
              </w:rPr>
            </w:pPr>
            <w:r>
              <w:rPr>
                <w:rFonts w:eastAsia="Times New Roman"/>
                <w:b/>
                <w:sz w:val="16"/>
                <w:szCs w:val="16"/>
              </w:rPr>
              <w:t>Найменування товару/ Вимоги Замовника</w:t>
            </w:r>
          </w:p>
          <w:p>
            <w:pPr>
              <w:pStyle w:val="Normal"/>
              <w:spacing w:lineRule="auto" w:line="240" w:before="0" w:after="0"/>
              <w:jc w:val="center"/>
              <w:rPr>
                <w:rFonts w:eastAsia="Times New Roman"/>
                <w:b/>
                <w:sz w:val="16"/>
                <w:szCs w:val="16"/>
              </w:rPr>
            </w:pPr>
            <w:r>
              <w:rPr>
                <w:rFonts w:eastAsia="Times New Roman"/>
                <w:b/>
                <w:sz w:val="16"/>
                <w:szCs w:val="16"/>
              </w:rPr>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16"/>
                <w:szCs w:val="16"/>
              </w:rPr>
            </w:pPr>
            <w:r>
              <w:rPr>
                <w:b/>
                <w:sz w:val="16"/>
                <w:szCs w:val="16"/>
              </w:rPr>
              <w:t>Медико-технічні вимоги</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 w:val="16"/>
                <w:szCs w:val="16"/>
              </w:rPr>
            </w:pPr>
            <w:r>
              <w:rPr>
                <w:rFonts w:eastAsia="Times New Roman"/>
                <w:b/>
                <w:sz w:val="16"/>
                <w:szCs w:val="16"/>
              </w:rPr>
              <w:t>Од. виміру</w:t>
            </w:r>
          </w:p>
        </w:tc>
        <w:tc>
          <w:tcPr>
            <w:tcW w:w="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 w:val="16"/>
                <w:szCs w:val="16"/>
              </w:rPr>
            </w:pPr>
            <w:r>
              <w:rPr>
                <w:rFonts w:eastAsia="Times New Roman"/>
                <w:b/>
                <w:sz w:val="16"/>
                <w:szCs w:val="16"/>
              </w:rPr>
              <w:t>Кількість</w:t>
            </w:r>
          </w:p>
        </w:tc>
      </w:tr>
      <w:tr>
        <w:trPr>
          <w:trHeight w:val="1360" w:hRule="atLeast"/>
        </w:trPr>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16"/>
                <w:szCs w:val="16"/>
              </w:rPr>
            </w:pPr>
            <w:r>
              <w:rPr>
                <w:sz w:val="16"/>
                <w:szCs w:val="16"/>
              </w:rPr>
              <w:t>61032 Кювета для лабораторного аналізатора IVD  (діагностика in vitro ) одноразового використання</w:t>
            </w:r>
          </w:p>
        </w:tc>
        <w:tc>
          <w:tcPr>
            <w:tcW w:w="245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color w:val="000000"/>
                <w:sz w:val="16"/>
                <w:szCs w:val="16"/>
              </w:rPr>
              <w:t>Мікрокювети (CL-2000, CL-2000B) або еквівалент</w:t>
            </w:r>
          </w:p>
        </w:tc>
        <w:tc>
          <w:tcPr>
            <w:tcW w:w="3000" w:type="dxa"/>
            <w:tcBorders>
              <w:top w:val="single" w:sz="4" w:space="0" w:color="000000"/>
              <w:left w:val="single" w:sz="4" w:space="0" w:color="000000"/>
              <w:bottom w:val="single" w:sz="4" w:space="0" w:color="000000"/>
              <w:right w:val="single" w:sz="4" w:space="0" w:color="000000"/>
            </w:tcBorders>
          </w:tcPr>
          <w:p>
            <w:pPr>
              <w:pStyle w:val="Normal"/>
              <w:rPr/>
            </w:pPr>
            <w:r>
              <w:rPr>
                <w:sz w:val="16"/>
                <w:szCs w:val="16"/>
              </w:rPr>
              <w:t xml:space="preserve">Кювети, що призначені для використання на коагулометрах серії </w:t>
            </w:r>
            <w:r>
              <w:rPr>
                <w:sz w:val="16"/>
                <w:szCs w:val="16"/>
                <w:lang w:val="en-US"/>
              </w:rPr>
              <w:t>CL</w:t>
            </w:r>
            <w:r>
              <w:rPr>
                <w:sz w:val="16"/>
                <w:szCs w:val="16"/>
              </w:rPr>
              <w:t xml:space="preserve"> виробника </w:t>
            </w:r>
            <w:r>
              <w:rPr>
                <w:sz w:val="16"/>
                <w:szCs w:val="16"/>
                <w:lang w:val="en-US"/>
              </w:rPr>
              <w:t>SINNOWA</w:t>
            </w:r>
            <w:r>
              <w:rPr>
                <w:sz w:val="16"/>
                <w:szCs w:val="16"/>
              </w:rPr>
              <w:t xml:space="preserve"> (моделі CL-2000, CL-2000В).</w:t>
            </w:r>
          </w:p>
          <w:p>
            <w:pPr>
              <w:pStyle w:val="Normal"/>
              <w:rPr>
                <w:sz w:val="16"/>
                <w:szCs w:val="16"/>
              </w:rPr>
            </w:pPr>
            <w:r>
              <w:rPr>
                <w:sz w:val="16"/>
                <w:szCs w:val="16"/>
              </w:rPr>
              <w:t>Фасування: 100 штук в упаковці.</w:t>
            </w:r>
          </w:p>
          <w:p>
            <w:pPr>
              <w:pStyle w:val="Normal"/>
              <w:spacing w:before="0" w:after="160"/>
              <w:ind w:hanging="284" w:left="-1687" w:right="0"/>
              <w:rPr>
                <w:sz w:val="16"/>
                <w:szCs w:val="16"/>
              </w:rPr>
            </w:pPr>
            <w:r>
              <w:rPr>
                <w:sz w:val="16"/>
                <w:szCs w:val="16"/>
              </w:rPr>
              <w:t>Фасування: 100 штук в</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ind w:hanging="284" w:left="-1687" w:right="0"/>
              <w:jc w:val="center"/>
              <w:rPr>
                <w:sz w:val="16"/>
                <w:szCs w:val="16"/>
              </w:rPr>
            </w:pPr>
            <w:r>
              <w:rPr>
                <w:sz w:val="16"/>
                <w:szCs w:val="16"/>
              </w:rPr>
              <w:t>штшшшш</w:t>
            </w:r>
          </w:p>
          <w:p>
            <w:pPr>
              <w:pStyle w:val="Normal"/>
              <w:spacing w:before="0" w:after="160"/>
              <w:jc w:val="center"/>
              <w:rPr>
                <w:sz w:val="16"/>
                <w:szCs w:val="16"/>
              </w:rPr>
            </w:pPr>
            <w:r>
              <w:rPr>
                <w:sz w:val="16"/>
                <w:szCs w:val="16"/>
              </w:rPr>
              <w:t>шт</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color w:val="000000"/>
                <w:sz w:val="16"/>
                <w:szCs w:val="16"/>
                <w:lang w:val="ru-RU"/>
              </w:rPr>
              <w:t>1</w:t>
            </w:r>
            <w:r>
              <w:rPr>
                <w:color w:val="000000"/>
                <w:sz w:val="16"/>
                <w:szCs w:val="16"/>
              </w:rPr>
              <w:t>000</w:t>
            </w:r>
          </w:p>
        </w:tc>
      </w:tr>
      <w:tr>
        <w:trPr>
          <w:trHeight w:val="246" w:hRule="atLeast"/>
        </w:trPr>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16"/>
                <w:szCs w:val="16"/>
              </w:rPr>
            </w:pPr>
            <w:r>
              <w:rPr>
                <w:sz w:val="16"/>
                <w:szCs w:val="16"/>
              </w:rPr>
              <w:t>43845 Змішувач лабораторний стандартний</w:t>
            </w:r>
          </w:p>
        </w:tc>
        <w:tc>
          <w:tcPr>
            <w:tcW w:w="245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color w:val="000000"/>
                <w:sz w:val="16"/>
                <w:szCs w:val="16"/>
              </w:rPr>
              <w:t>Змішувальна лопатка для CL або еквівалент</w:t>
            </w:r>
          </w:p>
        </w:tc>
        <w:tc>
          <w:tcPr>
            <w:tcW w:w="3000" w:type="dxa"/>
            <w:tcBorders>
              <w:top w:val="single" w:sz="4" w:space="0" w:color="000000"/>
              <w:left w:val="single" w:sz="4" w:space="0" w:color="000000"/>
              <w:bottom w:val="single" w:sz="4" w:space="0" w:color="000000"/>
              <w:right w:val="single" w:sz="4" w:space="0" w:color="000000"/>
            </w:tcBorders>
          </w:tcPr>
          <w:p>
            <w:pPr>
              <w:pStyle w:val="Normal"/>
              <w:rPr/>
            </w:pPr>
            <w:r>
              <w:rPr>
                <w:sz w:val="16"/>
                <w:szCs w:val="16"/>
              </w:rPr>
              <w:t xml:space="preserve">Мішалки для кювет, що призначені для використання на коагулометрах серії </w:t>
            </w:r>
            <w:r>
              <w:rPr>
                <w:sz w:val="16"/>
                <w:szCs w:val="16"/>
                <w:lang w:val="en-US"/>
              </w:rPr>
              <w:t>CL</w:t>
            </w:r>
            <w:r>
              <w:rPr>
                <w:sz w:val="16"/>
                <w:szCs w:val="16"/>
              </w:rPr>
              <w:t xml:space="preserve"> виробника </w:t>
            </w:r>
            <w:r>
              <w:rPr>
                <w:sz w:val="16"/>
                <w:szCs w:val="16"/>
                <w:lang w:val="en-US"/>
              </w:rPr>
              <w:t>SINNOWA</w:t>
            </w:r>
            <w:r>
              <w:rPr>
                <w:sz w:val="16"/>
                <w:szCs w:val="16"/>
              </w:rPr>
              <w:t xml:space="preserve"> (моделі CL-2000, CL-2000В).</w:t>
            </w:r>
          </w:p>
          <w:p>
            <w:pPr>
              <w:pStyle w:val="Normal"/>
              <w:spacing w:before="0" w:after="160"/>
              <w:rPr>
                <w:sz w:val="16"/>
                <w:szCs w:val="16"/>
              </w:rPr>
            </w:pPr>
            <w:r>
              <w:rPr>
                <w:sz w:val="16"/>
                <w:szCs w:val="16"/>
              </w:rPr>
              <w:t>Фасування: 100 штук в упаковці.</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 w:val="16"/>
                <w:szCs w:val="16"/>
              </w:rPr>
            </w:pPr>
            <w:r>
              <w:rPr>
                <w:sz w:val="16"/>
                <w:szCs w:val="16"/>
              </w:rPr>
              <w:t>шт</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color w:val="000000"/>
                <w:sz w:val="16"/>
                <w:szCs w:val="16"/>
              </w:rPr>
            </w:pPr>
            <w:r>
              <w:rPr>
                <w:color w:val="000000"/>
                <w:sz w:val="16"/>
                <w:szCs w:val="16"/>
              </w:rPr>
              <w:t>1000</w:t>
            </w:r>
          </w:p>
        </w:tc>
      </w:tr>
      <w:tr>
        <w:trPr>
          <w:trHeight w:val="246" w:hRule="atLeast"/>
        </w:trPr>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16"/>
                <w:szCs w:val="16"/>
              </w:rPr>
            </w:pPr>
            <w:r>
              <w:rPr>
                <w:sz w:val="16"/>
                <w:szCs w:val="16"/>
              </w:rPr>
              <w:t>15186 Штатив для пробірок</w:t>
            </w:r>
          </w:p>
        </w:tc>
        <w:tc>
          <w:tcPr>
            <w:tcW w:w="245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color w:val="000000"/>
                <w:sz w:val="16"/>
                <w:szCs w:val="16"/>
              </w:rPr>
              <w:t>Контейнер для зберігання і транспортування наконечників (200 мкл/96 шт) або еквівалент</w:t>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before="0" w:after="0"/>
              <w:rPr>
                <w:sz w:val="16"/>
                <w:szCs w:val="16"/>
              </w:rPr>
            </w:pPr>
            <w:r>
              <w:rPr>
                <w:sz w:val="16"/>
                <w:szCs w:val="16"/>
              </w:rPr>
              <w:t>Виготовлений з міцного полістиролу штатив з кришкою розрахований на 96 наконечників і стане оптимальним вибором для лабораторій, де часто використовують 8-канальні і 12-канальні дозатори.</w:t>
            </w:r>
          </w:p>
          <w:p>
            <w:pPr>
              <w:pStyle w:val="Normal"/>
              <w:spacing w:before="0" w:after="0"/>
              <w:rPr>
                <w:sz w:val="16"/>
                <w:szCs w:val="16"/>
              </w:rPr>
            </w:pPr>
            <w:r>
              <w:rPr>
                <w:sz w:val="16"/>
                <w:szCs w:val="16"/>
              </w:rPr>
              <w:t>Штатив підходить для наконечників об'ємом 200 мкл.</w:t>
            </w:r>
          </w:p>
          <w:p>
            <w:pPr>
              <w:pStyle w:val="Normal"/>
              <w:spacing w:before="0" w:after="0"/>
              <w:rPr>
                <w:sz w:val="16"/>
                <w:szCs w:val="16"/>
              </w:rPr>
            </w:pPr>
            <w:r>
              <w:rPr>
                <w:sz w:val="16"/>
                <w:szCs w:val="16"/>
              </w:rPr>
              <w:t>Штатив поставляється нестерильним. Автоклавується.</w:t>
            </w:r>
          </w:p>
          <w:p>
            <w:pPr>
              <w:pStyle w:val="Normal"/>
              <w:spacing w:before="0" w:after="0"/>
              <w:rPr>
                <w:sz w:val="16"/>
                <w:szCs w:val="16"/>
              </w:rPr>
            </w:pPr>
            <w:r>
              <w:rPr>
                <w:sz w:val="16"/>
                <w:szCs w:val="16"/>
              </w:rPr>
              <w:t>Призначення: штатив для наконечників</w:t>
            </w:r>
          </w:p>
          <w:p>
            <w:pPr>
              <w:pStyle w:val="Normal"/>
              <w:spacing w:before="0" w:after="0"/>
              <w:rPr>
                <w:sz w:val="16"/>
                <w:szCs w:val="16"/>
              </w:rPr>
            </w:pPr>
            <w:r>
              <w:rPr>
                <w:sz w:val="16"/>
                <w:szCs w:val="16"/>
              </w:rPr>
              <w:t>Мікробіологічний статус: нестерильний</w:t>
            </w:r>
          </w:p>
          <w:p>
            <w:pPr>
              <w:pStyle w:val="Normal"/>
              <w:spacing w:before="0" w:after="0"/>
              <w:rPr>
                <w:sz w:val="16"/>
                <w:szCs w:val="16"/>
              </w:rPr>
            </w:pPr>
            <w:r>
              <w:rPr>
                <w:sz w:val="16"/>
                <w:szCs w:val="16"/>
              </w:rPr>
              <w:t>Матеріал: полипропилен</w:t>
            </w:r>
          </w:p>
          <w:p>
            <w:pPr>
              <w:pStyle w:val="Normal"/>
              <w:spacing w:before="0" w:after="0"/>
              <w:rPr>
                <w:sz w:val="16"/>
                <w:szCs w:val="16"/>
              </w:rPr>
            </w:pPr>
            <w:r>
              <w:rPr>
                <w:sz w:val="16"/>
                <w:szCs w:val="16"/>
              </w:rPr>
              <w:t>Кількість місць / лунок / секцій: 96</w:t>
            </w:r>
          </w:p>
          <w:p>
            <w:pPr>
              <w:pStyle w:val="Normal"/>
              <w:spacing w:before="0" w:after="0"/>
              <w:rPr>
                <w:sz w:val="16"/>
                <w:szCs w:val="16"/>
              </w:rPr>
            </w:pPr>
            <w:r>
              <w:rPr>
                <w:sz w:val="16"/>
                <w:szCs w:val="16"/>
              </w:rPr>
              <w:t>Колір: нейтральний</w:t>
            </w:r>
          </w:p>
          <w:p>
            <w:pPr>
              <w:pStyle w:val="Normal"/>
              <w:spacing w:before="0" w:after="0"/>
              <w:rPr>
                <w:sz w:val="16"/>
                <w:szCs w:val="16"/>
              </w:rPr>
            </w:pPr>
            <w:r>
              <w:rPr>
                <w:sz w:val="16"/>
                <w:szCs w:val="16"/>
              </w:rPr>
              <w:t>Автоклавування: автоклавується</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 w:val="16"/>
                <w:szCs w:val="16"/>
                <w:lang w:val="ru-RU"/>
              </w:rPr>
            </w:pPr>
            <w:r>
              <w:rPr>
                <w:sz w:val="16"/>
                <w:szCs w:val="16"/>
                <w:lang w:val="ru-RU"/>
              </w:rPr>
              <w:t>шт</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color w:val="000000"/>
                <w:sz w:val="16"/>
                <w:szCs w:val="16"/>
                <w:lang w:val="ru-RU"/>
              </w:rPr>
            </w:pPr>
            <w:r>
              <w:rPr>
                <w:color w:val="000000"/>
                <w:sz w:val="16"/>
                <w:szCs w:val="16"/>
                <w:lang w:val="ru-RU"/>
              </w:rPr>
              <w:t>3</w:t>
            </w:r>
          </w:p>
        </w:tc>
      </w:tr>
    </w:tbl>
    <w:p>
      <w:pPr>
        <w:pStyle w:val="NormalWeb"/>
        <w:spacing w:lineRule="auto" w:line="360" w:before="280" w:after="0"/>
        <w:rPr>
          <w:lang w:val="uk-UA"/>
        </w:rPr>
      </w:pPr>
      <w:r>
        <w:rPr>
          <w:lang w:val="uk-UA"/>
        </w:rPr>
      </w:r>
    </w:p>
    <w:p>
      <w:pPr>
        <w:pStyle w:val="12"/>
        <w:tabs>
          <w:tab w:val="clear" w:pos="708"/>
          <w:tab w:val="left" w:pos="0" w:leader="none"/>
        </w:tabs>
        <w:ind w:hanging="0" w:left="0" w:right="-79"/>
        <w:rPr>
          <w:b/>
          <w:bCs/>
          <w:szCs w:val="24"/>
          <w:lang w:eastAsia="uk-UA"/>
        </w:rPr>
      </w:pPr>
      <w:r>
        <w:rPr>
          <w:b/>
          <w:bCs/>
          <w:szCs w:val="24"/>
          <w:lang w:eastAsia="uk-UA"/>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sz w:val="24"/>
          <w:szCs w:val="24"/>
          <w:lang w:val="uk-UA"/>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Calibri-Bold">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15c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800f54"/>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7">
    <w:name w:val="Heading 7"/>
    <w:basedOn w:val="Normal"/>
    <w:link w:val="7"/>
    <w:qFormat/>
    <w:rsid w:val="0052350c"/>
    <w:pPr>
      <w:keepNext w:val="true"/>
      <w:shd w:val="clear" w:color="auto" w:fill="FFFFFF"/>
      <w:spacing w:lineRule="auto" w:line="240" w:before="0" w:after="0"/>
      <w:jc w:val="center"/>
      <w:outlineLvl w:val="6"/>
    </w:pPr>
    <w:rPr>
      <w:rFonts w:ascii="Times New Roman" w:hAnsi="Times New Roman" w:eastAsia="Times New Roman" w:cs="Times New Roman"/>
      <w:spacing w:val="-1"/>
      <w:sz w:val="28"/>
      <w:szCs w:val="28"/>
      <w:lang w:eastAsia="ru-RU"/>
    </w:rPr>
  </w:style>
  <w:style w:type="character" w:styleId="DefaultParagraphFont" w:default="1">
    <w:name w:val="Default Paragraph Font"/>
    <w:uiPriority w:val="1"/>
    <w:semiHidden/>
    <w:unhideWhenUsed/>
    <w:qFormat/>
    <w:rPr/>
  </w:style>
  <w:style w:type="character" w:styleId="7" w:customStyle="1">
    <w:name w:val="Заголовок 7 Знак"/>
    <w:basedOn w:val="DefaultParagraphFont"/>
    <w:qFormat/>
    <w:rsid w:val="0052350c"/>
    <w:rPr>
      <w:rFonts w:ascii="Times New Roman" w:hAnsi="Times New Roman" w:eastAsia="Times New Roman" w:cs="Times New Roman"/>
      <w:spacing w:val="-1"/>
      <w:sz w:val="28"/>
      <w:szCs w:val="28"/>
      <w:shd w:fill="FFFFFF" w:val="clear"/>
      <w:lang w:eastAsia="ru-RU"/>
    </w:rPr>
  </w:style>
  <w:style w:type="character" w:styleId="C22" w:customStyle="1">
    <w:name w:val="c22"/>
    <w:basedOn w:val="DefaultParagraphFont"/>
    <w:qFormat/>
    <w:rsid w:val="0052350c"/>
    <w:rPr/>
  </w:style>
  <w:style w:type="character" w:styleId="Style12" w:customStyle="1">
    <w:name w:val="Верхний колонтитул Знак"/>
    <w:basedOn w:val="DefaultParagraphFont"/>
    <w:qFormat/>
    <w:rsid w:val="00a948c8"/>
    <w:rPr>
      <w:rFonts w:ascii="Times New Roman" w:hAnsi="Times New Roman" w:eastAsia="Times New Roman" w:cs="Times New Roman"/>
      <w:sz w:val="20"/>
      <w:szCs w:val="20"/>
      <w:lang w:eastAsia="ru-RU"/>
    </w:rPr>
  </w:style>
  <w:style w:type="character" w:styleId="Style13" w:customStyle="1">
    <w:name w:val="Абзац списка Знак"/>
    <w:link w:val="ListParagraph"/>
    <w:uiPriority w:val="34"/>
    <w:qFormat/>
    <w:locked/>
    <w:rsid w:val="00f608ba"/>
    <w:rPr/>
  </w:style>
  <w:style w:type="character" w:styleId="FontStyle22" w:customStyle="1">
    <w:name w:val="Font Style22"/>
    <w:qFormat/>
    <w:rsid w:val="004f55ca"/>
    <w:rPr>
      <w:rFonts w:ascii="Arial" w:hAnsi="Arial" w:cs="Arial"/>
      <w:b/>
      <w:bCs/>
      <w:sz w:val="20"/>
      <w:szCs w:val="20"/>
    </w:rPr>
  </w:style>
  <w:style w:type="character" w:styleId="Style14" w:customStyle="1">
    <w:name w:val="Основной текст Знак"/>
    <w:basedOn w:val="DefaultParagraphFont"/>
    <w:uiPriority w:val="99"/>
    <w:qFormat/>
    <w:rsid w:val="00e4564a"/>
    <w:rPr>
      <w:rFonts w:ascii="Times New Roman" w:hAnsi="Times New Roman" w:eastAsia="Times New Roman" w:cs="Times New Roman"/>
      <w:color w:val="000000"/>
      <w:sz w:val="28"/>
      <w:szCs w:val="28"/>
      <w:shd w:fill="FFFFFF" w:val="clear"/>
      <w:lang w:val="uk-UA" w:eastAsia="ru-RU"/>
    </w:rPr>
  </w:style>
  <w:style w:type="character" w:styleId="2" w:customStyle="1">
    <w:name w:val="Основной текст 2 Знак"/>
    <w:basedOn w:val="DefaultParagraphFont"/>
    <w:link w:val="BodyText2"/>
    <w:uiPriority w:val="99"/>
    <w:qFormat/>
    <w:rsid w:val="00e4564a"/>
    <w:rPr>
      <w:rFonts w:ascii="Times New Roman" w:hAnsi="Times New Roman" w:eastAsia="Times New Roman" w:cs="Times New Roman"/>
      <w:sz w:val="20"/>
      <w:szCs w:val="20"/>
      <w:lang w:eastAsia="ru-RU"/>
    </w:rPr>
  </w:style>
  <w:style w:type="character" w:styleId="Y2iqfc" w:customStyle="1">
    <w:name w:val="y2iqfc"/>
    <w:basedOn w:val="DefaultParagraphFont"/>
    <w:qFormat/>
    <w:rsid w:val="000a04c6"/>
    <w:rPr/>
  </w:style>
  <w:style w:type="character" w:styleId="Style15" w:customStyle="1">
    <w:name w:val="Текст примечания Знак"/>
    <w:basedOn w:val="DefaultParagraphFont"/>
    <w:link w:val="Annotationtext"/>
    <w:uiPriority w:val="99"/>
    <w:semiHidden/>
    <w:qFormat/>
    <w:rsid w:val="007f51a9"/>
    <w:rPr>
      <w:sz w:val="20"/>
      <w:szCs w:val="20"/>
      <w:lang w:val="uk-UA"/>
    </w:rPr>
  </w:style>
  <w:style w:type="character" w:styleId="Annotationreference">
    <w:name w:val="annotation reference"/>
    <w:basedOn w:val="DefaultParagraphFont"/>
    <w:uiPriority w:val="99"/>
    <w:semiHidden/>
    <w:unhideWhenUsed/>
    <w:qFormat/>
    <w:rsid w:val="007f51a9"/>
    <w:rPr>
      <w:sz w:val="16"/>
      <w:szCs w:val="16"/>
    </w:rPr>
  </w:style>
  <w:style w:type="character" w:styleId="Emphasis">
    <w:name w:val="Emphasis"/>
    <w:basedOn w:val="DefaultParagraphFont"/>
    <w:uiPriority w:val="20"/>
    <w:qFormat/>
    <w:rsid w:val="00a03caa"/>
    <w:rPr>
      <w:i/>
      <w:iCs/>
    </w:rPr>
  </w:style>
  <w:style w:type="character" w:styleId="HTML" w:customStyle="1">
    <w:name w:val="Стандартный HTML Знак"/>
    <w:basedOn w:val="DefaultParagraphFont"/>
    <w:link w:val="HTMLPreformatted"/>
    <w:uiPriority w:val="99"/>
    <w:semiHidden/>
    <w:qFormat/>
    <w:rsid w:val="001674de"/>
    <w:rPr>
      <w:rFonts w:ascii="Courier New" w:hAnsi="Courier New" w:eastAsia="Times New Roman" w:cs="Courier New"/>
      <w:sz w:val="20"/>
      <w:szCs w:val="20"/>
      <w:lang w:eastAsia="ru-RU"/>
    </w:rPr>
  </w:style>
  <w:style w:type="character" w:styleId="1" w:customStyle="1">
    <w:name w:val="Заголовок 1 Знак"/>
    <w:basedOn w:val="DefaultParagraphFont"/>
    <w:uiPriority w:val="9"/>
    <w:qFormat/>
    <w:rsid w:val="00800f54"/>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Основной текст 3 Знак"/>
    <w:basedOn w:val="DefaultParagraphFont"/>
    <w:link w:val="BodyText3"/>
    <w:uiPriority w:val="99"/>
    <w:semiHidden/>
    <w:qFormat/>
    <w:rsid w:val="00800f54"/>
    <w:rPr>
      <w:sz w:val="16"/>
      <w:szCs w:val="16"/>
    </w:rPr>
  </w:style>
  <w:style w:type="character" w:styleId="Fontstyle01" w:customStyle="1">
    <w:name w:val="fontstyle01"/>
    <w:qFormat/>
    <w:rsid w:val="00800f54"/>
    <w:rPr>
      <w:rFonts w:ascii="Calibri-Bold" w:hAnsi="Calibri-Bold" w:cs="Times New Roman"/>
      <w:b/>
      <w:bCs/>
      <w:color w:val="233E98"/>
      <w:sz w:val="72"/>
      <w:szCs w:val="72"/>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e4564a"/>
    <w:pPr>
      <w:widowControl w:val="false"/>
      <w:shd w:val="clear" w:color="auto" w:fill="FFFFFF"/>
      <w:spacing w:lineRule="auto" w:line="240" w:before="0" w:after="0"/>
      <w:jc w:val="both"/>
    </w:pPr>
    <w:rPr>
      <w:rFonts w:ascii="Times New Roman" w:hAnsi="Times New Roman" w:eastAsia="Times New Roman" w:cs="Times New Roman"/>
      <w:color w:val="000000"/>
      <w:sz w:val="28"/>
      <w:szCs w:val="28"/>
      <w:lang w:val="uk-UA"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ListParagraph">
    <w:name w:val="List Paragraph"/>
    <w:basedOn w:val="Normal"/>
    <w:link w:val="Style13"/>
    <w:uiPriority w:val="1"/>
    <w:qFormat/>
    <w:rsid w:val="005a6ce0"/>
    <w:pPr>
      <w:spacing w:lineRule="auto" w:line="276" w:before="0" w:after="200"/>
      <w:ind w:left="720"/>
      <w:contextualSpacing/>
    </w:pPr>
    <w:rPr/>
  </w:style>
  <w:style w:type="paragraph" w:styleId="Style18">
    <w:name w:val="Верхній і нижній колонтитули"/>
    <w:basedOn w:val="Normal"/>
    <w:qFormat/>
    <w:pPr/>
    <w:rPr/>
  </w:style>
  <w:style w:type="paragraph" w:styleId="Header">
    <w:name w:val="Header"/>
    <w:basedOn w:val="Normal"/>
    <w:link w:val="Style12"/>
    <w:rsid w:val="00a948c8"/>
    <w:pPr>
      <w:widowControl w:val="false"/>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BodyText2">
    <w:name w:val="Body Text 2"/>
    <w:basedOn w:val="Normal"/>
    <w:link w:val="2"/>
    <w:uiPriority w:val="99"/>
    <w:qFormat/>
    <w:rsid w:val="00e4564a"/>
    <w:pPr>
      <w:widowControl w:val="false"/>
      <w:spacing w:lineRule="auto" w:line="480" w:before="0" w:after="120"/>
    </w:pPr>
    <w:rPr>
      <w:rFonts w:ascii="Times New Roman" w:hAnsi="Times New Roman" w:eastAsia="Times New Roman" w:cs="Times New Roman"/>
      <w:sz w:val="20"/>
      <w:szCs w:val="20"/>
      <w:lang w:eastAsia="ru-RU"/>
    </w:rPr>
  </w:style>
  <w:style w:type="paragraph" w:styleId="11" w:customStyle="1">
    <w:name w:val="Обычный1"/>
    <w:qFormat/>
    <w:rsid w:val="00e4564a"/>
    <w:pPr>
      <w:widowControl/>
      <w:suppressAutoHyphens w:val="true"/>
      <w:bidi w:val="0"/>
      <w:spacing w:lineRule="auto" w:line="276" w:before="0" w:after="0"/>
      <w:jc w:val="left"/>
    </w:pPr>
    <w:rPr>
      <w:rFonts w:ascii="Arial" w:hAnsi="Arial" w:eastAsia="Times New Roman" w:cs="Arial"/>
      <w:color w:val="000000"/>
      <w:kern w:val="0"/>
      <w:sz w:val="22"/>
      <w:szCs w:val="20"/>
      <w:lang w:val="ru-RU" w:eastAsia="ru-RU" w:bidi="ar-SA"/>
    </w:rPr>
  </w:style>
  <w:style w:type="paragraph" w:styleId="Annotationtext">
    <w:name w:val="annotation text"/>
    <w:basedOn w:val="Normal"/>
    <w:link w:val="Style15"/>
    <w:uiPriority w:val="99"/>
    <w:semiHidden/>
    <w:unhideWhenUsed/>
    <w:qFormat/>
    <w:rsid w:val="007f51a9"/>
    <w:pPr>
      <w:spacing w:lineRule="auto" w:line="240" w:before="0" w:after="200"/>
    </w:pPr>
    <w:rPr>
      <w:sz w:val="20"/>
      <w:szCs w:val="20"/>
      <w:lang w:val="uk-UA"/>
    </w:rPr>
  </w:style>
  <w:style w:type="paragraph" w:styleId="HTMLPreformatted">
    <w:name w:val="HTML Preformatted"/>
    <w:basedOn w:val="Normal"/>
    <w:link w:val="HTML"/>
    <w:uiPriority w:val="99"/>
    <w:semiHidden/>
    <w:unhideWhenUsed/>
    <w:qFormat/>
    <w:rsid w:val="001674d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BodyText3">
    <w:name w:val="Body Text 3"/>
    <w:basedOn w:val="Normal"/>
    <w:link w:val="3"/>
    <w:uiPriority w:val="99"/>
    <w:semiHidden/>
    <w:unhideWhenUsed/>
    <w:qFormat/>
    <w:rsid w:val="00800f54"/>
    <w:pPr>
      <w:spacing w:before="0" w:after="120"/>
    </w:pPr>
    <w:rPr>
      <w:sz w:val="16"/>
      <w:szCs w:val="16"/>
    </w:rPr>
  </w:style>
  <w:style w:type="paragraph" w:styleId="Style19">
    <w:name w:val="Вміст рамки"/>
    <w:basedOn w:val="Normal"/>
    <w:qFormat/>
    <w:pPr/>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2">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Style20">
    <w:name w:val="Вміст таблиці"/>
    <w:basedOn w:val="Normal"/>
    <w:qFormat/>
    <w:pPr>
      <w:widowControl w:val="false"/>
      <w:suppressLineNumbers/>
    </w:pPr>
    <w:rPr/>
  </w:style>
  <w:style w:type="paragraph" w:styleId="Web">
    <w:name w:val="Обычный (Web) Знак Знак Знак"/>
    <w:basedOn w:val="Normal"/>
    <w:next w:val="NormalWeb"/>
    <w:qFormat/>
    <w:pPr>
      <w:spacing w:lineRule="auto" w:line="240" w:beforeAutospacing="1" w:afterAutospacing="1"/>
    </w:pPr>
    <w:rPr>
      <w:rFonts w:ascii="Liberation Serif" w:hAnsi="Liberation Serif" w:eastAsia="Times New Roman"/>
      <w:color w:val="00000A"/>
      <w:sz w:val="24"/>
      <w:szCs w:val="20"/>
      <w:lang w:eastAsia="ru-RU"/>
    </w:rPr>
  </w:style>
  <w:style w:type="paragraph" w:styleId="NormalWeb">
    <w:name w:val="Normal (Web)"/>
    <w:basedOn w:val="Normal"/>
    <w:qFormat/>
    <w:pPr>
      <w:spacing w:before="280" w:after="280"/>
    </w:pPr>
    <w:rPr>
      <w:lang w:val="ru-RU" w:eastAsia="zh-CN"/>
    </w:rPr>
  </w:style>
  <w:style w:type="paragraph" w:styleId="Cee1fbf7edfbe9">
    <w:name w:val="Оceбe1ыfbчf7нedыfbйe9"/>
    <w:qFormat/>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val="uk-UA" w:eastAsia="ru-RU"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medicina/UA-2025-05-05-006888-a-medychne-obladnanny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LibreOffice/7.6.0.3$Windows_X86_64 LibreOffice_project/69edd8b8ebc41d00b4de3915dc82f8f0fc3b6265</Application>
  <AppVersion>15.0000</AppVersion>
  <Pages>3</Pages>
  <Words>715</Words>
  <Characters>5037</Characters>
  <CharactersWithSpaces>5774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2025-01-07T08:33:00Z</dcterms:created>
  <dc:creator>user</dc:creator>
  <dc:description/>
  <dc:language>uk-UA</dc:language>
  <cp:lastModifiedBy/>
  <dcterms:modified xsi:type="dcterms:W3CDTF">2025-05-07T15:27:07Z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