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0"/>
        <w:contextualSpacing/>
        <w:jc w:val="center"/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Комунальне некомерційне підприємство</w:t>
      </w:r>
    </w:p>
    <w:p>
      <w:pPr>
        <w:pStyle w:val="Normal"/>
        <w:suppressAutoHyphens w:val="true"/>
        <w:spacing w:lineRule="auto" w:line="360" w:before="0" w:after="0"/>
        <w:jc w:val="center"/>
        <w:rPr>
          <w:color w:val="000000"/>
        </w:rPr>
      </w:pPr>
      <w:r>
        <w:rPr>
          <w:rFonts w:ascii="Times New Roman" w:hAnsi="Times New Roman"/>
          <w:b/>
          <w:caps/>
          <w:color w:val="000000"/>
          <w:sz w:val="24"/>
          <w:szCs w:val="24"/>
          <w:lang w:eastAsia="ar-SA"/>
        </w:rPr>
        <w:t>«Міська поліклініка № 20» Харківської міської ради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ОБҐРУНТУВАННЯ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технічних та якісних характеристик 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закупівлі </w:t>
      </w:r>
      <w:r>
        <w:rPr>
          <w:rFonts w:ascii="Times New Roman" w:hAnsi="Times New Roman"/>
          <w:b/>
          <w:bCs w:val="false"/>
          <w:color w:val="auto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/>
          <w:b/>
          <w:bCs w:val="false"/>
          <w:color w:val="auto"/>
          <w:sz w:val="32"/>
          <w:szCs w:val="32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  <w:lang w:val="uk-UA" w:eastAsia="uk-UA"/>
        </w:rPr>
        <w:t xml:space="preserve">Система ендоскопічної візуалізації для ЛОР обстежень </w:t>
      </w:r>
      <w:r>
        <w:rPr>
          <w:rFonts w:ascii="Times New Roman" w:hAnsi="Times New Roman"/>
          <w:b/>
          <w:bCs w:val="false"/>
          <w:color w:val="auto"/>
          <w:sz w:val="24"/>
          <w:szCs w:val="24"/>
          <w:lang w:val="uk-UA" w:eastAsia="uk-UA"/>
        </w:rPr>
        <w:t xml:space="preserve"> ДК 021:2015:  </w:t>
      </w:r>
      <w:r>
        <w:rPr>
          <w:rFonts w:eastAsia="Tahoma" w:ascii="Times New Roman" w:hAnsi="Times New Roman"/>
          <w:b/>
          <w:bCs w:val="false"/>
          <w:color w:val="auto"/>
          <w:sz w:val="24"/>
          <w:szCs w:val="24"/>
          <w:lang w:val="uk-UA" w:eastAsia="zh-CN" w:bidi="hi-IN"/>
        </w:rPr>
        <w:t xml:space="preserve">ДК 021:2015: 33160000-9 Устаткування для операційних блоків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eastAsia="uk-UA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>
        <w:rPr>
          <w:rFonts w:ascii="Times New Roman" w:hAnsi="Times New Roman"/>
          <w:color w:val="000000"/>
          <w:sz w:val="24"/>
          <w:szCs w:val="24"/>
        </w:rPr>
        <w:t xml:space="preserve">Відповідно до ч.2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uk-UA"/>
        </w:rPr>
        <w:t xml:space="preserve"> ідентифікаційний код: 34017656;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>
      <w:pPr>
        <w:pStyle w:val="Normal"/>
        <w:spacing w:lineRule="auto" w:line="240" w:before="240" w:after="0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auto"/>
          <w:sz w:val="26"/>
          <w:szCs w:val="26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  <w:lang w:val="uk-UA" w:eastAsia="uk-UA"/>
        </w:rPr>
        <w:t xml:space="preserve">Система ендоскопічної візуалізації для ЛОР обстежень </w:t>
      </w:r>
      <w:r>
        <w:rPr>
          <w:rFonts w:ascii="Times New Roman" w:hAnsi="Times New Roman"/>
          <w:b/>
          <w:bCs w:val="false"/>
          <w:color w:val="auto"/>
          <w:sz w:val="24"/>
          <w:szCs w:val="24"/>
          <w:lang w:val="uk-UA" w:eastAsia="uk-UA"/>
        </w:rPr>
        <w:t xml:space="preserve"> ДК 021:2015:  </w:t>
      </w:r>
      <w:r>
        <w:rPr>
          <w:rFonts w:eastAsia="Tahoma" w:ascii="Times New Roman" w:hAnsi="Times New Roman"/>
          <w:b/>
          <w:bCs w:val="false"/>
          <w:color w:val="auto"/>
          <w:sz w:val="24"/>
          <w:szCs w:val="24"/>
          <w:lang w:val="uk-UA" w:eastAsia="zh-CN" w:bidi="hi-IN"/>
        </w:rPr>
        <w:t xml:space="preserve">ДК 021:2015: 33160000-9 Устаткування для операційних блоків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uk-UA" w:eastAsia="uk-UA"/>
        </w:rPr>
        <w:t xml:space="preserve"> 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ascii="Times New Roman" w:hAnsi="Times New Roman"/>
          <w:b/>
          <w:bCs/>
          <w:color w:val="000000"/>
          <w:sz w:val="24"/>
          <w:szCs w:val="24"/>
          <w:lang w:eastAsia="uk-UA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Вид та ідентифікатор процедури закупівлі: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shd w:fill="F0F5F2" w:val="clear"/>
          <w:lang w:eastAsia="uk-UA"/>
        </w:rPr>
        <w:t xml:space="preserve">ВІДКРИТІ ТОРГИ З ОСОБЛИВОСТЯМИ 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</w:pPr>
      <w:hyperlink r:id="rId2" w:tgtFrame="_blank">
        <w:r>
          <w:rPr>
            <w:rStyle w:val="Hyperlink"/>
            <w:rFonts w:ascii="Rubik;sans-serif" w:hAnsi="Rubik;sans-serif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single"/>
            <w:shd w:fill="EEEEEE" w:val="clear"/>
            <w:lang w:eastAsia="uk-UA"/>
          </w:rPr>
          <w:t>UA-2025-05-14-008066-a</w:t>
        </w:r>
      </w:hyperlink>
      <w:r>
        <w:rPr>
          <w:rFonts w:ascii="Times New Roman" w:hAnsi="Times New Roman"/>
          <w:color w:val="000000"/>
          <w:sz w:val="24"/>
          <w:szCs w:val="24"/>
          <w:u w:val="single"/>
          <w:shd w:fill="F0F5F2" w:val="clear"/>
          <w:lang w:eastAsia="uk-UA"/>
        </w:rPr>
        <w:t xml:space="preserve"> </w:t>
      </w:r>
    </w:p>
    <w:p>
      <w:pPr>
        <w:pStyle w:val="Normal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Вид закупівлі: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shd w:fill="FFFFFF" w:val="clear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        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uk-UA"/>
        </w:rPr>
        <w:t>2 284 334,00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 </w:t>
      </w:r>
      <w:r>
        <w:rPr>
          <w:rFonts w:ascii="Times New Roman" w:hAnsi="Times New Roman"/>
          <w:color w:val="000000"/>
          <w:sz w:val="24"/>
          <w:szCs w:val="24"/>
          <w:u w:val="none"/>
          <w:lang w:eastAsia="uk-UA"/>
        </w:rPr>
        <w:t xml:space="preserve"> грн з ПДВ</w:t>
      </w:r>
    </w:p>
    <w:p>
      <w:pPr>
        <w:pStyle w:val="12"/>
        <w:tabs>
          <w:tab w:val="clear" w:pos="708"/>
          <w:tab w:val="left" w:pos="0" w:leader="none"/>
        </w:tabs>
        <w:ind w:hanging="0" w:left="0" w:right="-79"/>
        <w:rPr>
          <w:color w:val="000000"/>
        </w:rPr>
      </w:pPr>
      <w:r>
        <w:rPr>
          <w:color w:val="000000"/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>
      <w:pPr>
        <w:pStyle w:val="Normal"/>
        <w:shd w:val="clear" w:color="auto" w:fill="FFFFFF"/>
        <w:spacing w:before="0" w:after="0"/>
        <w:jc w:val="both"/>
        <w:rPr>
          <w:u w:val="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lang w:eastAsia="uk-UA"/>
        </w:rPr>
        <w:t>Розмір бюджетного призначення:</w:t>
      </w:r>
      <w:r>
        <w:rPr>
          <w:rFonts w:ascii="Times New Roman" w:hAnsi="Times New Roman"/>
          <w:color w:val="000000"/>
          <w:sz w:val="24"/>
          <w:szCs w:val="24"/>
          <w:u w:val="none"/>
          <w:lang w:eastAsia="uk-UA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hi-IN"/>
        </w:rPr>
        <w:t xml:space="preserve">Джерело фінансування: власний бюджет (кошти від господарської діяльності підприємства) </w:t>
      </w:r>
    </w:p>
    <w:tbl>
      <w:tblPr>
        <w:tblW w:w="193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</w:tblGrid>
      <w:tr>
        <w:trPr/>
        <w:tc>
          <w:tcPr>
            <w:tcW w:w="1930" w:type="dxa"/>
            <w:tcBorders/>
            <w:vAlign w:val="center"/>
          </w:tcPr>
          <w:p>
            <w:pPr>
              <w:pStyle w:val="user4"/>
              <w:spacing w:before="0" w:after="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12"/>
        <w:tabs>
          <w:tab w:val="clear" w:pos="708"/>
          <w:tab w:val="left" w:pos="0" w:leader="none"/>
        </w:tabs>
        <w:ind w:hanging="0" w:left="0" w:right="-79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Cs w:val="24"/>
          <w:lang w:eastAsia="uk-UA"/>
        </w:rPr>
        <w:t>Обґрунтування якісних та технічних характеристик. </w:t>
      </w:r>
      <w:r>
        <w:rPr>
          <w:rFonts w:ascii="Times New Roman" w:hAnsi="Times New Roman"/>
          <w:bCs/>
          <w:color w:val="000000"/>
          <w:szCs w:val="24"/>
          <w:lang w:eastAsia="uk-UA"/>
        </w:rPr>
        <w:t xml:space="preserve">Строк </w:t>
      </w:r>
      <w:r>
        <w:rPr>
          <w:rFonts w:ascii="Times New Roman" w:hAnsi="Times New Roman"/>
          <w:bCs/>
          <w:color w:val="000000"/>
          <w:szCs w:val="24"/>
          <w:lang w:val="uk-UA" w:eastAsia="uk-UA"/>
        </w:rPr>
        <w:t>поставки товару</w:t>
      </w:r>
      <w:r>
        <w:rPr>
          <w:rFonts w:ascii="Times New Roman" w:hAnsi="Times New Roman"/>
          <w:bCs/>
          <w:color w:val="000000"/>
          <w:szCs w:val="24"/>
          <w:lang w:eastAsia="uk-UA"/>
        </w:rPr>
        <w:t>:</w:t>
      </w:r>
      <w:r>
        <w:rPr>
          <w:rFonts w:ascii="Times New Roman" w:hAnsi="Times New Roman"/>
          <w:i/>
          <w:iCs/>
          <w:color w:val="000000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Cs w:val="24"/>
          <w:lang w:eastAsia="uk-UA"/>
        </w:rPr>
        <w:t> </w:t>
      </w:r>
      <w:r>
        <w:rPr>
          <w:rFonts w:ascii="Times New Roman" w:hAnsi="Times New Roman"/>
          <w:b/>
          <w:bCs/>
          <w:color w:val="000000"/>
          <w:szCs w:val="24"/>
          <w:lang w:eastAsia="uk-UA"/>
        </w:rPr>
        <w:t xml:space="preserve">до 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sz w:val="24"/>
          <w:szCs w:val="24"/>
          <w:lang w:val="uk-UA" w:eastAsia="ru-RU"/>
        </w:rPr>
        <w:t>31</w:t>
      </w:r>
      <w:r>
        <w:rPr>
          <w:rFonts w:eastAsia="Times New Roman" w:cs="Times New Roman" w:ascii="Times New Roman" w:hAnsi="Times New Roman"/>
          <w:b/>
          <w:bCs/>
          <w:color w:val="000000"/>
          <w:spacing w:val="-4"/>
          <w:sz w:val="24"/>
          <w:szCs w:val="24"/>
          <w:lang w:val="en-US" w:eastAsia="ru-RU"/>
        </w:rPr>
        <w:t>.07.2025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року.</w:t>
      </w:r>
    </w:p>
    <w:p>
      <w:pPr>
        <w:pStyle w:val="Normal"/>
        <w:spacing w:before="0" w:after="20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>
      <w:pPr>
        <w:pStyle w:val="cee1fbf7edfbe9"/>
        <w:jc w:val="both"/>
        <w:rPr>
          <w:rFonts w:ascii="Times New Roman" w:hAnsi="Times New Roman"/>
          <w:b/>
          <w:color w:val="auto"/>
          <w:sz w:val="22"/>
          <w:szCs w:val="22"/>
          <w:lang w:val="uk-UA"/>
        </w:rPr>
      </w:pPr>
      <w:r>
        <w:rPr>
          <w:rFonts w:ascii="Times New Roman" w:hAnsi="Times New Roman"/>
          <w:b/>
          <w:color w:val="auto"/>
          <w:sz w:val="22"/>
          <w:szCs w:val="22"/>
          <w:lang w:val="uk-UA"/>
        </w:rPr>
        <w:t xml:space="preserve">                 </w:t>
      </w:r>
      <w:r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 xml:space="preserve">Система ендоскопічної візуалізації для ЛОР обстежень 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eastAsia="Tahoma" w:ascii="Times New Roman" w:hAnsi="Times New Roman"/>
          <w:b/>
          <w:sz w:val="24"/>
          <w:szCs w:val="24"/>
          <w:lang w:eastAsia="zh-CN" w:bidi="hi-IN"/>
        </w:rPr>
        <w:t xml:space="preserve">ДК 021:2015: 33160000-9 Устаткування для операційних блоків 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eastAsia="Tahoma" w:ascii="Times New Roman" w:hAnsi="Times New Roman"/>
          <w:b/>
          <w:sz w:val="24"/>
          <w:szCs w:val="24"/>
          <w:lang w:eastAsia="zh-CN" w:bidi="hi-IN"/>
        </w:rPr>
        <w:t>НК 024:2023 35616 - Система ендоскопічної візуалізації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0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4"/>
        <w:gridCol w:w="3553"/>
        <w:gridCol w:w="3693"/>
        <w:gridCol w:w="2286"/>
      </w:tblGrid>
      <w:tr>
        <w:trPr>
          <w:trHeight w:val="187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40" w:leader="none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iCs/>
                <w:sz w:val="22"/>
                <w:szCs w:val="22"/>
                <w:lang w:val="uk-UA" w:eastAsia="uk-UA"/>
              </w:rPr>
              <w:t xml:space="preserve">№ </w:t>
            </w:r>
            <w:r>
              <w:rPr>
                <w:rFonts w:eastAsia="Calibri" w:cs="Calibri" w:ascii="Times New Roman" w:hAnsi="Times New Roman"/>
                <w:iCs/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0" w:type="dxa"/>
            </w:tcMar>
          </w:tcPr>
          <w:p>
            <w:pPr>
              <w:pStyle w:val="Normal"/>
              <w:tabs>
                <w:tab w:val="clear" w:pos="708"/>
                <w:tab w:val="left" w:pos="540" w:leader="none"/>
              </w:tabs>
              <w:jc w:val="center"/>
              <w:rPr>
                <w:rFonts w:ascii="Times New Roman" w:hAnsi="Times New Roman" w:eastAsia="Calibri" w:cs="Calibri"/>
                <w:iCs/>
                <w:lang w:val="uk-UA" w:eastAsia="uk-UA"/>
              </w:rPr>
            </w:pPr>
            <w:r>
              <w:rPr>
                <w:rFonts w:eastAsia="Calibri" w:cs="Calibri" w:ascii="Times New Roman" w:hAnsi="Times New Roman"/>
                <w:iCs/>
                <w:lang w:val="uk-UA" w:eastAsia="uk-UA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iCs/>
                <w:sz w:val="22"/>
                <w:szCs w:val="22"/>
                <w:lang w:val="uk-UA" w:eastAsia="uk-UA"/>
              </w:rPr>
              <w:t>Назва предмета закупівлі</w:t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pacing w:before="0" w:after="160"/>
              <w:jc w:val="center"/>
              <w:rPr>
                <w:rFonts w:ascii="Times New Roman" w:hAnsi="Times New Roman" w:eastAsia="Calibri" w:cs="Calibri"/>
                <w:iCs/>
                <w:lang w:val="uk-UA" w:eastAsia="uk-UA"/>
              </w:rPr>
            </w:pPr>
            <w:r>
              <w:rPr>
                <w:rFonts w:eastAsia="Calibri" w:cs="Calibri" w:ascii="Times New Roman" w:hAnsi="Times New Roman"/>
                <w:iCs/>
                <w:lang w:val="uk-UA" w:eastAsia="uk-UA"/>
              </w:rPr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0" w:type="dxa"/>
            </w:tcMar>
          </w:tcPr>
          <w:p>
            <w:pPr>
              <w:pStyle w:val="Normal"/>
              <w:tabs>
                <w:tab w:val="clear" w:pos="708"/>
                <w:tab w:val="left" w:pos="540" w:leader="none"/>
              </w:tabs>
              <w:jc w:val="center"/>
              <w:rPr>
                <w:rFonts w:ascii="Times New Roman" w:hAnsi="Times New Roman" w:eastAsia="Calibri" w:cs="Calibri"/>
                <w:iCs/>
                <w:lang w:val="uk-UA" w:eastAsia="uk-UA"/>
              </w:rPr>
            </w:pPr>
            <w:r>
              <w:rPr>
                <w:rFonts w:eastAsia="Calibri" w:cs="Calibri" w:ascii="Times New Roman" w:hAnsi="Times New Roman"/>
                <w:iCs/>
                <w:lang w:val="uk-UA" w:eastAsia="uk-UA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iCs/>
                <w:sz w:val="22"/>
                <w:szCs w:val="22"/>
                <w:lang w:val="uk-UA" w:eastAsia="uk-UA"/>
              </w:rPr>
              <w:t>Найменування за результатами закупівлі (учасник заповнює назву запропанованого товару)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40" w:leader="none"/>
              </w:tabs>
              <w:jc w:val="center"/>
              <w:rPr>
                <w:rFonts w:ascii="Times New Roman" w:hAnsi="Times New Roman" w:eastAsia="Calibri" w:cs="Calibri"/>
                <w:iCs/>
                <w:lang w:val="uk-UA" w:eastAsia="uk-UA"/>
              </w:rPr>
            </w:pPr>
            <w:r>
              <w:rPr>
                <w:rFonts w:eastAsia="Calibri" w:cs="Calibri" w:ascii="Times New Roman" w:hAnsi="Times New Roman"/>
                <w:iCs/>
                <w:lang w:val="uk-UA" w:eastAsia="uk-UA"/>
              </w:rPr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iCs/>
                <w:sz w:val="22"/>
                <w:szCs w:val="22"/>
                <w:lang w:val="uk-UA" w:eastAsia="uk-UA"/>
              </w:rPr>
              <w:t>Кількість</w:t>
            </w:r>
          </w:p>
        </w:tc>
      </w:tr>
      <w:tr>
        <w:trPr>
          <w:trHeight w:val="179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40" w:leader="none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iCs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0" w:type="dxa"/>
            </w:tcMar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/>
                <w:bCs/>
                <w:iCs/>
                <w:sz w:val="24"/>
                <w:szCs w:val="24"/>
              </w:rPr>
              <w:t>Система ендоскопічної візуалізації для ЛОР обстежень</w:t>
            </w:r>
          </w:p>
          <w:p>
            <w:pPr>
              <w:pStyle w:val="Normal"/>
              <w:tabs>
                <w:tab w:val="clear" w:pos="708"/>
                <w:tab w:val="left" w:pos="540" w:leader="none"/>
              </w:tabs>
              <w:spacing w:before="0" w:after="160"/>
              <w:rPr>
                <w:rFonts w:ascii="Times New Roman" w:hAnsi="Times New Roman" w:eastAsia="Calibri" w:cs="Calibri"/>
                <w:iCs/>
                <w:lang w:val="uk-UA" w:eastAsia="uk-UA"/>
              </w:rPr>
            </w:pPr>
            <w:r>
              <w:rPr>
                <w:rFonts w:eastAsia="Calibri" w:cs="Calibri" w:ascii="Times New Roman" w:hAnsi="Times New Roman"/>
                <w:iCs/>
                <w:lang w:val="uk-UA" w:eastAsia="uk-UA"/>
              </w:rPr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0" w:type="dxa"/>
            </w:tcMar>
          </w:tcPr>
          <w:p>
            <w:pPr>
              <w:pStyle w:val="Normal"/>
              <w:tabs>
                <w:tab w:val="clear" w:pos="708"/>
                <w:tab w:val="left" w:pos="540" w:leader="none"/>
              </w:tabs>
              <w:spacing w:before="0" w:after="160"/>
              <w:jc w:val="center"/>
              <w:rPr>
                <w:rFonts w:ascii="Times New Roman" w:hAnsi="Times New Roman" w:eastAsia="Calibri" w:cs="Calibri"/>
                <w:iCs/>
                <w:lang w:val="uk-UA" w:eastAsia="uk-UA"/>
              </w:rPr>
            </w:pPr>
            <w:r>
              <w:rPr>
                <w:rFonts w:eastAsia="Calibri" w:cs="Calibri" w:ascii="Times New Roman" w:hAnsi="Times New Roman"/>
                <w:iCs/>
                <w:lang w:val="uk-UA" w:eastAsia="uk-UA"/>
              </w:rPr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40" w:leader="none"/>
              </w:tabs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iCs/>
                <w:sz w:val="22"/>
                <w:szCs w:val="22"/>
                <w:lang w:val="uk-UA" w:eastAsia="uk-UA"/>
              </w:rPr>
              <w:t>1 комплект</w:t>
            </w:r>
          </w:p>
        </w:tc>
      </w:tr>
    </w:tbl>
    <w:p>
      <w:pPr>
        <w:pStyle w:val="Normal"/>
        <w:suppressAutoHyphens w:val="false"/>
        <w:rPr>
          <w:rFonts w:ascii="Times New Roman" w:hAnsi="Times New Roman" w:eastAsia="Calibri" w:cs="Calibri"/>
          <w:iCs/>
          <w:sz w:val="22"/>
          <w:szCs w:val="22"/>
          <w:lang w:val="uk-UA" w:eastAsia="uk-UA"/>
        </w:rPr>
      </w:pPr>
      <w:r>
        <w:rPr>
          <w:rFonts w:eastAsia="Calibri" w:cs="Calibri" w:ascii="Times New Roman" w:hAnsi="Times New Roman"/>
          <w:iCs/>
          <w:sz w:val="22"/>
          <w:szCs w:val="22"/>
          <w:lang w:val="uk-UA" w:eastAsia="uk-UA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8"/>
          <w:szCs w:val="28"/>
          <w:lang w:val="uk-UA" w:eastAsia="uk-UA"/>
        </w:rPr>
        <w:t>Загальні вимоги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iCs/>
          <w:sz w:val="22"/>
          <w:szCs w:val="22"/>
          <w:lang w:val="uk-UA" w:eastAsia="uk-UA"/>
        </w:rPr>
        <w:t xml:space="preserve">       </w:t>
      </w:r>
      <w:r>
        <w:rPr>
          <w:rFonts w:eastAsia="Calibri" w:cs="Calibri" w:ascii="Times New Roman" w:hAnsi="Times New Roman"/>
          <w:iCs/>
          <w:sz w:val="22"/>
          <w:szCs w:val="22"/>
          <w:lang w:val="uk-UA" w:eastAsia="uk-UA"/>
        </w:rPr>
        <w:t>1. Доставка товару, його інсталяція, пробний пуск обладнання в експлуатацію та інструкта</w:t>
      </w:r>
      <w:r>
        <w:rPr>
          <w:rFonts w:eastAsia="Calibri" w:cs="Calibri" w:ascii="Times New Roman" w:hAnsi="Times New Roman"/>
          <w:iCs/>
          <w:sz w:val="22"/>
          <w:szCs w:val="22"/>
          <w:lang w:val="uk-UA" w:eastAsia="uk-UA"/>
        </w:rPr>
        <w:t>ж медичного персоналу</w:t>
      </w: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> має здійснюватися за рахунок Учасника. </w:t>
      </w:r>
      <w:r>
        <w:rPr>
          <w:rFonts w:eastAsia="Calibri" w:cs="Calibri" w:ascii="Times New Roman" w:hAnsi="Times New Roman"/>
          <w:b/>
          <w:bCs/>
          <w:sz w:val="22"/>
          <w:szCs w:val="22"/>
          <w:lang w:val="uk-UA" w:eastAsia="uk-UA"/>
        </w:rPr>
        <w:t>Учасник повинен надати гарантійного листа.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 xml:space="preserve">      </w:t>
      </w: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>2. Устаткування має бути новим, раніше ніде не встановленим і не використаним для демо-цілей. Устаткування має поставлятися в фірмовій упаковці виробника. Рік випуску не раніше 2024 року</w:t>
      </w:r>
      <w:r>
        <w:rPr>
          <w:rFonts w:eastAsia="Calibri" w:cs="Calibri" w:ascii="Times New Roman" w:hAnsi="Times New Roman"/>
          <w:bCs/>
          <w:sz w:val="22"/>
          <w:szCs w:val="22"/>
          <w:lang w:val="uk-UA" w:eastAsia="uk-UA"/>
        </w:rPr>
        <w:t>. </w:t>
      </w:r>
      <w:r>
        <w:rPr>
          <w:rFonts w:eastAsia="Calibri" w:cs="Calibri" w:ascii="Times New Roman" w:hAnsi="Times New Roman"/>
          <w:b/>
          <w:bCs/>
          <w:sz w:val="22"/>
          <w:szCs w:val="22"/>
          <w:lang w:val="uk-UA" w:eastAsia="uk-UA"/>
        </w:rPr>
        <w:t>Учасник повинен надати гарантійного листа</w:t>
      </w:r>
      <w:r>
        <w:rPr>
          <w:rFonts w:eastAsia="Calibri" w:cs="Calibri" w:ascii="Times New Roman" w:hAnsi="Times New Roman"/>
          <w:b/>
          <w:sz w:val="22"/>
          <w:szCs w:val="22"/>
          <w:lang w:val="uk-UA" w:eastAsia="uk-UA"/>
        </w:rPr>
        <w:t>.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 xml:space="preserve">  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uk-UA" w:eastAsia="uk-UA"/>
        </w:rPr>
        <w:t xml:space="preserve"> 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uk-UA" w:eastAsia="uk-UA"/>
        </w:rPr>
        <w:t xml:space="preserve">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uk-UA" w:eastAsia="uk-UA"/>
        </w:rPr>
        <w:t>3. Гарантійний термін – не менше 12 місяців з дня пробного пуску обладнання в експлуатацію (</w:t>
      </w:r>
      <w:r>
        <w:rPr>
          <w:rFonts w:eastAsia="Calibri" w:cs="Calibri" w:ascii="Times New Roman" w:hAnsi="Times New Roman"/>
          <w:b/>
          <w:bCs/>
          <w:color w:val="000000"/>
          <w:sz w:val="22"/>
          <w:szCs w:val="22"/>
          <w:lang w:val="uk-UA" w:eastAsia="uk-UA"/>
        </w:rPr>
        <w:t>надати гарантійний лист від учасника у складі тендерної пропозиції</w:t>
      </w:r>
      <w:r>
        <w:rPr>
          <w:rFonts w:eastAsia="Calibri" w:cs="Calibri" w:ascii="Times New Roman" w:hAnsi="Times New Roman"/>
          <w:color w:val="000000"/>
          <w:sz w:val="22"/>
          <w:szCs w:val="22"/>
          <w:lang w:val="uk-UA" w:eastAsia="uk-UA"/>
        </w:rPr>
        <w:t>).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 xml:space="preserve">      </w:t>
      </w: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 xml:space="preserve">4. Спроможність учасника  поставити запропоноване обладнання повинна підтверджуватись </w:t>
      </w:r>
      <w:r>
        <w:rPr>
          <w:rFonts w:eastAsia="Calibri" w:cs="Calibri" w:ascii="Times New Roman" w:hAnsi="Times New Roman"/>
          <w:b/>
          <w:sz w:val="22"/>
          <w:szCs w:val="22"/>
          <w:lang w:val="uk-UA" w:eastAsia="uk-UA"/>
        </w:rPr>
        <w:t>оригіналом </w:t>
      </w:r>
      <w:r>
        <w:rPr>
          <w:rFonts w:eastAsia="Calibri" w:cs="Calibri" w:ascii="Times New Roman" w:hAnsi="Times New Roman"/>
          <w:b/>
          <w:bCs/>
          <w:sz w:val="22"/>
          <w:szCs w:val="22"/>
          <w:lang w:val="uk-UA" w:eastAsia="uk-UA"/>
        </w:rPr>
        <w:t>гарантійного листа</w:t>
      </w:r>
      <w:r>
        <w:rPr>
          <w:rFonts w:eastAsia="Calibri" w:cs="Calibri" w:ascii="Times New Roman" w:hAnsi="Times New Roman"/>
          <w:b/>
          <w:sz w:val="22"/>
          <w:szCs w:val="22"/>
          <w:lang w:val="uk-UA" w:eastAsia="uk-UA"/>
        </w:rPr>
        <w:t> від виробника</w:t>
      </w: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 xml:space="preserve"> (</w:t>
      </w:r>
      <w:r>
        <w:rPr>
          <w:rFonts w:eastAsia="Calibri" w:cs="Calibri" w:ascii="Times New Roman" w:hAnsi="Times New Roman"/>
          <w:b/>
          <w:sz w:val="22"/>
          <w:szCs w:val="22"/>
          <w:lang w:val="uk-UA" w:eastAsia="uk-UA"/>
        </w:rPr>
        <w:t>якщо учасник не є виробником товару) або його офіційного представника в Україні</w:t>
      </w: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 xml:space="preserve"> (таке представництво повинно підтверджуватись копією відповідного листа, доручення, авторизації, тощо від виробника), що підтверджує можливість постачання учасником запропонованого обладнання в необхідній кількості, якості та в потрібні  терміни, визначені цією тендерною документацією та пропозицією учасника (надати скановану копію оригіналу гарантійного листа у складі тендерної пропозиції) </w:t>
      </w:r>
      <w:r>
        <w:rPr>
          <w:rFonts w:eastAsia="Calibri" w:cs="Calibri" w:ascii="Times New Roman" w:hAnsi="Times New Roman"/>
          <w:sz w:val="22"/>
          <w:szCs w:val="22"/>
          <w:shd w:fill="FDFEFD" w:val="clear"/>
          <w:lang w:val="uk-UA" w:eastAsia="uk-UA"/>
        </w:rPr>
        <w:t>із зазначенням номера оголошення.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 xml:space="preserve">        </w:t>
      </w: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>5. Товар, запропонований Учасником, на момент постачання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 </w:t>
      </w:r>
      <w:r>
        <w:rPr>
          <w:rFonts w:eastAsia="Calibri" w:cs="Calibri" w:ascii="Times New Roman" w:hAnsi="Times New Roman"/>
          <w:bCs/>
          <w:sz w:val="22"/>
          <w:szCs w:val="22"/>
          <w:lang w:val="uk-UA" w:eastAsia="uk-UA"/>
        </w:rPr>
        <w:t>Надати копію документу на підтвердження.</w:t>
      </w:r>
    </w:p>
    <w:p>
      <w:pPr>
        <w:pStyle w:val="Normal"/>
        <w:suppressAutoHyphens w:val="false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bCs/>
          <w:sz w:val="22"/>
          <w:szCs w:val="22"/>
          <w:lang w:val="uk-UA" w:eastAsia="uk-UA"/>
        </w:rPr>
        <w:t xml:space="preserve">        </w:t>
      </w:r>
      <w:r>
        <w:rPr>
          <w:rFonts w:eastAsia="Calibri" w:cs="Calibri" w:ascii="Times New Roman" w:hAnsi="Times New Roman"/>
          <w:bCs/>
          <w:sz w:val="22"/>
          <w:szCs w:val="22"/>
          <w:lang w:val="uk-UA" w:eastAsia="uk-UA"/>
        </w:rPr>
        <w:t>6. Строк поставки не пізніше</w:t>
      </w:r>
      <w:r>
        <w:rPr>
          <w:rFonts w:eastAsia="Calibri" w:cs="Calibri" w:ascii="Times New Roman" w:hAnsi="Times New Roman"/>
          <w:bCs/>
          <w:color w:val="000000"/>
          <w:sz w:val="22"/>
          <w:szCs w:val="22"/>
          <w:u w:val="none"/>
          <w:lang w:val="uk-UA" w:eastAsia="uk-UA"/>
        </w:rPr>
        <w:t xml:space="preserve"> </w:t>
      </w:r>
      <w:bookmarkStart w:id="1" w:name="_GoBack_копія_1"/>
      <w:bookmarkEnd w:id="1"/>
      <w:r>
        <w:rPr>
          <w:rFonts w:eastAsia="Calibri" w:cs="Calibri" w:ascii="Times New Roman" w:hAnsi="Times New Roman"/>
          <w:b/>
          <w:bCs/>
          <w:color w:val="000000"/>
          <w:sz w:val="22"/>
          <w:szCs w:val="22"/>
          <w:u w:val="none"/>
          <w:lang w:val="en-US" w:eastAsia="uk-UA"/>
        </w:rPr>
        <w:t>31.07.</w:t>
      </w:r>
      <w:r>
        <w:rPr>
          <w:rFonts w:eastAsia="Calibri" w:cs="Calibri" w:ascii="Times New Roman" w:hAnsi="Times New Roman"/>
          <w:b/>
          <w:bCs/>
          <w:color w:val="000000"/>
          <w:sz w:val="22"/>
          <w:szCs w:val="22"/>
          <w:u w:val="none"/>
          <w:lang w:val="uk-UA" w:eastAsia="uk-UA"/>
        </w:rPr>
        <w:t>2025 року</w:t>
      </w:r>
      <w:r>
        <w:rPr>
          <w:rFonts w:eastAsia="Calibri" w:cs="Calibri" w:ascii="Times New Roman" w:hAnsi="Times New Roman"/>
          <w:bCs/>
          <w:color w:val="000000"/>
          <w:sz w:val="22"/>
          <w:szCs w:val="22"/>
          <w:u w:val="none"/>
          <w:lang w:val="uk-UA" w:eastAsia="uk-UA"/>
        </w:rPr>
        <w:t>.</w:t>
      </w:r>
      <w:r>
        <w:rPr>
          <w:rFonts w:eastAsia="Calibri" w:cs="Calibri" w:ascii="Times New Roman" w:hAnsi="Times New Roman"/>
          <w:bCs/>
          <w:sz w:val="22"/>
          <w:szCs w:val="22"/>
          <w:lang w:val="uk-UA" w:eastAsia="uk-UA"/>
        </w:rPr>
        <w:t xml:space="preserve"> </w:t>
      </w:r>
      <w:r>
        <w:rPr>
          <w:rFonts w:eastAsia="Calibri" w:cs="Calibri" w:ascii="Times New Roman" w:hAnsi="Times New Roman"/>
          <w:b/>
          <w:bCs/>
          <w:sz w:val="22"/>
          <w:szCs w:val="22"/>
          <w:lang w:val="uk-UA" w:eastAsia="uk-UA"/>
        </w:rPr>
        <w:t>Учасник повинен надати гарантійного листа.</w:t>
      </w:r>
    </w:p>
    <w:p>
      <w:pPr>
        <w:pStyle w:val="Normal"/>
        <w:suppressAutoHyphens w:val="false"/>
        <w:jc w:val="both"/>
        <w:rPr/>
      </w:pP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 xml:space="preserve">        </w:t>
      </w: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>7. Сервісне обслуговування товару, запропонованого Учасником повинно здійснюватися кваліфікованими працівниками, які мають відповідні знання та навички. На підтвердження</w:t>
      </w:r>
      <w:r>
        <w:rPr>
          <w:rFonts w:eastAsia="Calibri" w:cs="Calibri" w:ascii="Times New Roman" w:hAnsi="Times New Roman"/>
          <w:i/>
          <w:sz w:val="22"/>
          <w:szCs w:val="22"/>
          <w:lang w:val="uk-UA" w:eastAsia="uk-UA"/>
        </w:rPr>
        <w:t xml:space="preserve"> </w:t>
      </w:r>
      <w:r>
        <w:rPr>
          <w:rFonts w:eastAsia="Calibri" w:cs="Calibri" w:ascii="Times New Roman" w:hAnsi="Times New Roman"/>
          <w:b/>
          <w:sz w:val="22"/>
          <w:szCs w:val="22"/>
          <w:lang w:val="uk-UA" w:eastAsia="uk-UA"/>
        </w:rPr>
        <w:t>Учасник повинен надати гарантійний лист</w:t>
      </w:r>
      <w:r>
        <w:rPr>
          <w:rFonts w:eastAsia="Calibri" w:cs="Calibri" w:ascii="Times New Roman" w:hAnsi="Times New Roman"/>
          <w:sz w:val="22"/>
          <w:szCs w:val="22"/>
          <w:lang w:val="uk-UA" w:eastAsia="uk-UA"/>
        </w:rPr>
        <w:t xml:space="preserve"> в довільній формі щодо відповідності вимогам, вказаним у вищевказаному пункті та копію сертифікату спеціаліста по технічному обслуговуванню пропонуємого товару. </w:t>
      </w:r>
    </w:p>
    <w:p>
      <w:pPr>
        <w:pStyle w:val="Normal"/>
        <w:suppressAutoHyphens w:val="false"/>
        <w:ind w:firstLine="851"/>
        <w:jc w:val="both"/>
        <w:rPr>
          <w:rFonts w:ascii="Times New Roman" w:hAnsi="Times New Roman"/>
        </w:rPr>
      </w:pPr>
      <w:r>
        <w:rPr>
          <w:rFonts w:eastAsia="Tahoma" w:ascii="Times New Roman" w:hAnsi="Times New Roman"/>
          <w:b/>
          <w:bCs/>
          <w:color w:val="00000A"/>
          <w:lang w:val="uk-UA" w:eastAsia="zh-CN" w:bidi="hi-IN"/>
        </w:rPr>
        <w:t xml:space="preserve">                                                 </w:t>
      </w:r>
      <w:r>
        <w:rPr>
          <w:rFonts w:eastAsia="Tahoma" w:ascii="Times New Roman" w:hAnsi="Times New Roman"/>
          <w:b/>
          <w:bCs/>
          <w:color w:val="00000A"/>
          <w:lang w:val="uk-UA" w:eastAsia="zh-CN" w:bidi="hi-IN"/>
        </w:rPr>
        <w:t>Медико-технічні вимоги</w:t>
      </w:r>
    </w:p>
    <w:p>
      <w:pPr>
        <w:pStyle w:val="Normal"/>
        <w:suppressAutoHyphens w:val="false"/>
        <w:rPr>
          <w:rFonts w:ascii="Times New Roman" w:hAnsi="Times New Roman" w:eastAsia="Calibri" w:cs="Calibri"/>
          <w:color w:val="000000"/>
          <w:sz w:val="22"/>
          <w:szCs w:val="22"/>
          <w:lang w:val="uk-UA" w:eastAsia="uk-U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uk-UA" w:eastAsia="uk-UA"/>
        </w:rPr>
      </w:r>
    </w:p>
    <w:p>
      <w:pPr>
        <w:pStyle w:val="Normal"/>
        <w:tabs>
          <w:tab w:val="clear" w:pos="708"/>
          <w:tab w:val="left" w:pos="284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uk-UA"/>
        </w:rPr>
        <w:t>Технічні вимоги:</w:t>
      </w:r>
    </w:p>
    <w:tbl>
      <w:tblPr>
        <w:tblW w:w="9942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5"/>
        <w:gridCol w:w="4394"/>
        <w:gridCol w:w="2837"/>
        <w:gridCol w:w="2285"/>
      </w:tblGrid>
      <w:tr>
        <w:trPr>
          <w:trHeight w:val="2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Опис параметра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Наявність функції або величина параметра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Посилання на відповідні розділи, та/або сторінку (и) технічного документу виробника та/або інструкції користувача</w:t>
            </w:r>
          </w:p>
        </w:tc>
      </w:tr>
      <w:tr>
        <w:trPr>
          <w:trHeight w:val="2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b/>
                <w:bCs/>
                <w:iCs/>
                <w:lang w:val="uk-UA" w:eastAsia="uk-UA"/>
              </w:rPr>
              <w:t xml:space="preserve">Система ендоскопічної візуалізації для ЛОР обстежень </w:t>
            </w:r>
            <w:r>
              <w:rPr>
                <w:rFonts w:ascii="Times New Roman" w:hAnsi="Times New Roman"/>
                <w:b/>
                <w:lang w:val="ru-RU"/>
              </w:rPr>
              <w:t>в комплекті: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комплект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Призначення: система ендоскопічної візуалізаціі для отоларингологічних обстежень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Блок керування камерою ендоскопа</w:t>
            </w:r>
            <w:r>
              <w:rPr>
                <w:rFonts w:ascii="Times New Roman" w:hAnsi="Times New Roman"/>
                <w:lang w:val="uk-UA"/>
              </w:rPr>
              <w:t xml:space="preserve"> (</w:t>
            </w:r>
            <w:r>
              <w:rPr>
                <w:rFonts w:ascii="Times New Roman" w:hAnsi="Times New Roman"/>
                <w:lang w:val="ru-RU"/>
              </w:rPr>
              <w:t>медичний пристрій для обробки зображень, який поєднюється з периферійними пристроями, такими як ендоскопи, камери, джерела світла та монітори)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Підключення камери W+CAM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Перегляд в режимі реального часу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Налаштування кольорів зображення (кольоровий режим: 3 типи - режим вухо/ніс/горло) з панелі пристрою та з кнопки головки камери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Автоматичний баланс білого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Датчик зображення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Не менш ніж 1/2.8” CMOS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Зображення високої роздільної здатності не менш ніж </w:t>
            </w:r>
            <w:r>
              <w:rPr>
                <w:rFonts w:ascii="Times New Roman" w:hAnsi="Times New Roman"/>
              </w:rPr>
              <w:t>FHD</w:t>
            </w:r>
            <w:r>
              <w:rPr>
                <w:rFonts w:ascii="Times New Roman" w:hAnsi="Times New Roman"/>
                <w:lang w:val="ru-RU"/>
              </w:rPr>
              <w:t xml:space="preserve"> 1920 </w:t>
            </w:r>
            <w:r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lang w:val="ru-RU"/>
              </w:rPr>
              <w:t xml:space="preserve"> 1080, 60 кадрів за секунду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Вмикання функції автоматичного балансу білого з панелі пристрою та з кнопки головки камери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Регулювання кількості розділених екранів на моніторі  на 1; 2; 4 під час зйомки зображень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Порти для підключення головок відеокамер  не менш ніж 2 порти (почергова робота)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Перемикання між камерами з панелі пристрою та з будь-якої кнопки на неактивній підключеній камері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Порти для підключення зовнішніх пристроїв джерела світла,  не менш ніж 2 порти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Вмикання та вимикання освітлення з панелі пристрою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Індикація підключеної робочої камери на панелі пристрою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Керування захопленням зображення з панелі пристрою, кнопки головки камери або ножного перемикача (педалі)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SDI порт - 1 канал (1920x1080p60)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HDMI порт - 4 порти (1920x1080p60)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Основне ендоскопічне джерело світла </w:t>
            </w:r>
            <w:r>
              <w:rPr>
                <w:rFonts w:ascii="Times New Roman" w:hAnsi="Times New Roman"/>
                <w:b/>
                <w:bCs/>
              </w:rPr>
              <w:t>LED</w:t>
            </w:r>
            <w:r>
              <w:rPr>
                <w:rFonts w:ascii="Times New Roman" w:hAnsi="Times New Roman"/>
                <w:b/>
                <w:bCs/>
                <w:lang w:val="uk-UA"/>
              </w:rPr>
              <w:t>: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Призначення: використовувати під час лікування в поєднанні з периферійними пристроями, такими як ендоскопи, камери та монітори, освітлює уражену ділянку світлом, що генерується світлодіодами під час використання медичних ендоскопів через волоконно-оптичні кабелі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Оптично - волоконий кабель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Яскравість лампи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770 000 Lux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Регулювання яскравості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8 рівнів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Кольорова температура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більше ніж 6500К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Регулювання яскравості лампи з панелі приладу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Вмикання та вимикання лампи с панелі приладу, або ножного перемикача (педалі)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Регулювання варіантів роботи ножного перемикача (педалі)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Функція автоматичного вмикання лампи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примусового повітряного охолодження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Додаткове ендоскопічне джерело світла </w:t>
            </w:r>
            <w:r>
              <w:rPr>
                <w:rFonts w:ascii="Times New Roman" w:hAnsi="Times New Roman"/>
                <w:b/>
                <w:bCs/>
              </w:rPr>
              <w:t>LED</w:t>
            </w:r>
            <w:r>
              <w:rPr>
                <w:rFonts w:ascii="Times New Roman" w:hAnsi="Times New Roman"/>
                <w:b/>
                <w:bCs/>
                <w:lang w:val="uk-UA"/>
              </w:rPr>
              <w:t>: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Призначення: використовувати під час лікування в поєднанні з периферійними пристроями, такими як ендоскопи, камери та монітори, освітлює уражену ділянку світлом, що генерується світлодіодами під час використання медичних ендоскопів через волоконно-оптичні кабелі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Ергономічна форма в вигляді рукояті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Роз’єм для ендоскопа універсальний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Підключення до порта панелі блока керування камерою ендоскопа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Автоматичне вмикання разом з блоком керування камерою ендоскопа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Яскравість лампи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250 000 Lux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Головка ендоскопічної</w:t>
            </w:r>
            <w:r>
              <w:rPr>
                <w:rFonts w:ascii="Times New Roman" w:hAnsi="Times New Roman"/>
                <w:b/>
                <w:bCs/>
              </w:rPr>
              <w:t xml:space="preserve"> камер</w:t>
            </w:r>
            <w:r>
              <w:rPr>
                <w:rFonts w:ascii="Times New Roman" w:hAnsi="Times New Roman"/>
                <w:b/>
                <w:bCs/>
                <w:lang w:val="uk-UA"/>
              </w:rPr>
              <w:t>и</w:t>
            </w:r>
            <w:r>
              <w:rPr>
                <w:rFonts w:ascii="Times New Roman" w:hAnsi="Times New Roman"/>
                <w:b/>
                <w:bCs/>
              </w:rPr>
              <w:t xml:space="preserve"> W+CAM</w:t>
            </w:r>
            <w:r>
              <w:rPr>
                <w:rFonts w:ascii="Times New Roman" w:hAnsi="Times New Roman"/>
                <w:b/>
                <w:bCs/>
                <w:lang w:val="uk-UA"/>
              </w:rPr>
              <w:t>: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Призначення: перетворення світла, отримане датчиком зображення через лінзу, в електричний сигнал, вирівнювання його відповідно до формату зображення та передача його на підключений пристрій обробки зображень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Тримач ендоскопу на камері універсальний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Фіксатор ендоскопу на головці камери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Ручка регулювання фокусу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Ручка регулювання масштабу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Три кнопки головки камери із фіксованою настройкою: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 захоплення зображення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 автоматичний баланс білого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- налаштування кольору зображення (кольоровий режим: 3 типи - режим вухо/ніс/горло)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Режим захоплення: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повноекранний режим,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 розділених знімки,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розділених знімки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Роздільна здатність камери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Не менш ніж 1920 </w:t>
            </w:r>
            <w:r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lang w:val="ru-RU"/>
              </w:rPr>
              <w:t xml:space="preserve"> 1080, 60 кадрів в секунду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зображення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1/2.8” CMOS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Об’єктив із фіксованим з’єднувач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Зум-об’єктив високої чіткості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Не менш ніж з 2,3-кратним збільшенням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Вага головки камери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більше 0,75 кг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Ендоскопічний відеомонітор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дісплей не менш ніж 24”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Стійка для обладнання: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Полиці металеві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менше ніж 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Кріплення для монітору типу «</w:t>
            </w:r>
            <w:r>
              <w:rPr>
                <w:rFonts w:ascii="Times New Roman" w:hAnsi="Times New Roman"/>
              </w:rPr>
              <w:t>Vesa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Кріплення головки відеокамери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Колісні опори з можливістю блокування 2 шт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Висувний ящик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Ларингоскоп (діаметр 6, довжина :178 мм, град.: 70)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шт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Синусоскоп (Ø 4, довжина: 175 мм, кут 0)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шт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Отоскоп (Ø 2.7, довжина: 100 мм, кут.: 0)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шт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Лор комбайн :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Ендоскопічний відеомонітор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Дісплей не менш ніж 24”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Панель управління вологостійка із звуковими індикаторами та підсвітленням кнопок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Пістолет-розпилювач з контейнером для лікарських засобів, що вмикається автоматично при підйомі та припиненні роботи при повертанні до тримача. </w:t>
            </w:r>
            <w:r>
              <w:rPr>
                <w:rFonts w:ascii="Times New Roman" w:hAnsi="Times New Roman"/>
              </w:rPr>
              <w:t>Розпилення починається після натиску на кнопку розпилювача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3 штуки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Максимальний тиск повітря розпилювача не менш 242 </w:t>
            </w:r>
            <w:r>
              <w:rPr>
                <w:rFonts w:ascii="Times New Roman" w:hAnsi="Times New Roman"/>
              </w:rPr>
              <w:t>kPa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Контейнери лікарських засобів на розпилювачах – 2 шт світлозахисні + 1 шт прозорий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Аспіраційний пістолет що вмикається автоматично при підйомі та припиненні роботи при повертанні до тримача.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2 штуки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Відсмоктувач </w:t>
            </w:r>
            <w:r>
              <w:rPr>
                <w:rFonts w:ascii="Times New Roman" w:hAnsi="Times New Roman"/>
                <w:color w:themeColor="text1" w:val="000000"/>
              </w:rPr>
              <w:t xml:space="preserve">має три скляні </w:t>
            </w:r>
            <w:r>
              <w:rPr>
                <w:rFonts w:ascii="Times New Roman" w:hAnsi="Times New Roman"/>
              </w:rPr>
              <w:t>ємності, що  можна легко очистити, швидкість вільного всмоктування (л/хв) не менш ніж 80 л/хв, двигун відсмоктувача:макс. 680 мм рт. ст., макс. тиск 7 бар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2 штуки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Об’єм основної скляної ємності відсмоктувача не менш 2,5 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Контроль та регулювання тиску розпилення та всмоктування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Світлодіодний ліхтарик-ручка підключена до панелі управління з</w:t>
            </w:r>
            <w:r>
              <w:rPr>
                <w:rFonts w:ascii="Times New Roman" w:hAnsi="Times New Roman"/>
                <w:color w:val="00B05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 xml:space="preserve">автоматичним запуском роботи при підйомі та </w:t>
            </w:r>
            <w:r>
              <w:rPr>
                <w:rFonts w:ascii="Times New Roman" w:hAnsi="Times New Roman"/>
                <w:lang w:val="ru-RU"/>
              </w:rPr>
              <w:t>припиненні роботи при установці на місце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1 штука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лампа 30 000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Lux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Компресор потужністю 0,9~2,0 кг/см2 з насадками для продування порожнин та для масажу барабанної перетинки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Внутрішній лоток з підігрівом інструментів на рівні 35-45 градусів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Зовнішній лоток для інструментів з прозорою кришкою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Шафа для зберігання медичних інструментів та інших предметів, необхідних для лікування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Флакон для ліків з світло захищеного скла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6 штук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Захист  від запотівання та нагрівач дзеркал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Кольорова зміна освітлення вмикача захисту від запотівання при роботі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Ємність з нержавіючої сталі з тримачем вбудованому в корпус , висотою не менш ніж 50 мм, Ø 83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12 штук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Ємність з нержавіючої сталі з тримачем вбудованому в корпус Ø 52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2 штуки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Ємність з нержавіючої сталі  з тримачем на боковій панелі , висотою не менш ніж 80 мм, Ø 100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2 штуки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Стійка-тримач для додаткового обладнання з нагрузкою не менш 30 кг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Розетки електроживлення на боковій та задній панелі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ніж 6  штук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Регулювання роботи розеток з панелі управління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Регулювання звукового чи світового підтвердження натискання кнопок на панелі управління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259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Під’єднання до ЛОР комбайну крісла пацієнта та регулювання ним з панелі управління комбайну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Можливість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Енергоспоживання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Не більш ніж 1,5 кВт в годину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Стілець лікаря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1 шт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Медичнии</w:t>
            </w:r>
            <w:r>
              <w:rPr>
                <w:rFonts w:ascii="Times New Roman" w:hAnsi="Times New Roman"/>
                <w:color w:themeColor="text1" w:val="000000"/>
              </w:rPr>
              <w:t xml:space="preserve">̆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ірігатор</w:t>
            </w:r>
            <w:r>
              <w:rPr>
                <w:rFonts w:ascii="Times New Roman" w:hAnsi="Times New Roman"/>
                <w:color w:themeColor="text1" w:val="000000"/>
              </w:rPr>
              <w:t xml:space="preserve"> 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для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очищення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носовоі</w:t>
            </w:r>
            <w:r>
              <w:rPr>
                <w:rFonts w:ascii="Times New Roman" w:hAnsi="Times New Roman"/>
                <w:color w:themeColor="text1" w:val="000000"/>
              </w:rPr>
              <w:t xml:space="preserve">̈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та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вушноі</w:t>
            </w:r>
            <w:r>
              <w:rPr>
                <w:rFonts w:ascii="Times New Roman" w:hAnsi="Times New Roman"/>
                <w:color w:themeColor="text1" w:val="000000"/>
              </w:rPr>
              <w:t xml:space="preserve">̈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порожнини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та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пазух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тощо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з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автоматичним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термометром</w:t>
            </w:r>
            <w:r>
              <w:rPr>
                <w:rFonts w:ascii="Times New Roman" w:hAnsi="Times New Roman"/>
                <w:color w:themeColor="text1" w:val="000000"/>
              </w:rPr>
              <w:t xml:space="preserve">,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якии</w:t>
            </w:r>
            <w:r>
              <w:rPr>
                <w:rFonts w:ascii="Times New Roman" w:hAnsi="Times New Roman"/>
                <w:color w:themeColor="text1" w:val="000000"/>
              </w:rPr>
              <w:t xml:space="preserve">̆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регулює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фізіологічнии</w:t>
            </w:r>
            <w:r>
              <w:rPr>
                <w:rFonts w:ascii="Times New Roman" w:hAnsi="Times New Roman"/>
                <w:color w:themeColor="text1" w:val="000000"/>
              </w:rPr>
              <w:t xml:space="preserve">̆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розчин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до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температури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тіла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людини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lang w:val="ru-RU"/>
              </w:rPr>
              <w:t>близько</w:t>
            </w:r>
            <w:r>
              <w:rPr>
                <w:rFonts w:ascii="Times New Roman" w:hAnsi="Times New Roman"/>
                <w:color w:themeColor="text1" w:val="000000"/>
              </w:rPr>
              <w:t xml:space="preserve"> 35°C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Крісло ЛОР:</w:t>
            </w:r>
          </w:p>
        </w:tc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Електричне регулюванням висоти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Регулювання за допомогою :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- ножного перемикача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- пульта дістанційного управління,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- панелі управління на кріслі (кнопки управління),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- сенсорної  панелі управління яка знаходиться на поверхні ЛОР комбайну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Регульовані та з’ємні  підлокітники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Повний електричний прівід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Необмежене двостороннє обертання на 360°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Функція прискорення та уповільнення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Беспровідна електронна гальмівна система (блокування положення)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Регульовання спинки від вертикального до горизонтального положення (перетворюється в операційний стіл)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Шарнірний підголівник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Датчик руху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Стабільний центр ваги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Відповідність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Кнопки керування :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- збоку сидіння з обох боків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- збоку спинки з обох боків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Функції кнопок керування :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- пам'ять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- поворот спинки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- поворот підлокітника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Наявність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Ножний перемикач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1 шт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Керівництво з експлуатації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  <w:t>Надати копію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color w:themeColor="text1" w:val="000000"/>
                <w:lang w:val="ru-RU"/>
              </w:rPr>
            </w:pPr>
            <w:r>
              <w:rPr>
                <w:rFonts w:ascii="Times New Roman" w:hAnsi="Times New Roman"/>
                <w:color w:themeColor="text1" w:val="000000"/>
                <w:lang w:val="ru-RU"/>
              </w:rPr>
            </w:r>
          </w:p>
        </w:tc>
      </w:tr>
    </w:tbl>
    <w:p>
      <w:pPr>
        <w:pStyle w:val="Normal"/>
        <w:rPr>
          <w:color w:themeColor="text1" w:val="000000"/>
          <w:lang w:val="ru-RU"/>
        </w:rPr>
      </w:pPr>
      <w:r>
        <w:rPr>
          <w:color w:themeColor="text1" w:val="000000"/>
          <w:lang w:val="ru-RU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color w:themeColor="text1" w:val="000000"/>
          <w:lang w:val="ru-RU"/>
        </w:rPr>
        <w:t>*У разі, якщо дані Медико-технічні вимоги</w:t>
      </w:r>
      <w:r>
        <w:rPr>
          <w:rFonts w:eastAsia="Calibri" w:cs="Calibri" w:ascii="Times New Roman" w:hAnsi="Times New Roman"/>
          <w:b/>
          <w:sz w:val="18"/>
          <w:szCs w:val="18"/>
          <w:lang w:val="uk-UA" w:eastAsia="uk-UA"/>
        </w:rPr>
        <w:t xml:space="preserve"> та специфікація містять посилання на конкретну марку, фірму, патент, конструкцію або тип товару, то вважається, що Технічні вимоги та специфікація містять вираз «або еквівалент».</w:t>
      </w:r>
    </w:p>
    <w:p>
      <w:pPr>
        <w:pStyle w:val="cee1fbf7edfbe9"/>
        <w:jc w:val="both"/>
        <w:rPr>
          <w:rFonts w:ascii="Times New Roman" w:hAnsi="Times New Roman" w:eastAsia="Calibri"/>
          <w:b/>
          <w:bCs w:val="false"/>
          <w:color w:val="auto"/>
          <w:sz w:val="22"/>
          <w:szCs w:val="22"/>
          <w:lang w:val="uk-UA" w:eastAsia="zh-CN" w:bidi="hi-IN"/>
        </w:rPr>
      </w:pPr>
      <w:r>
        <w:rPr>
          <w:rFonts w:eastAsia="Calibri"/>
          <w:b/>
          <w:bCs w:val="false"/>
          <w:color w:val="auto"/>
          <w:sz w:val="22"/>
          <w:szCs w:val="22"/>
          <w:lang w:val="uk-UA" w:eastAsia="zh-CN" w:bidi="hi-IN"/>
        </w:rPr>
      </w:r>
    </w:p>
    <w:p>
      <w:pPr>
        <w:pStyle w:val="12"/>
        <w:tabs>
          <w:tab w:val="clear" w:pos="708"/>
          <w:tab w:val="left" w:pos="0" w:leader="none"/>
        </w:tabs>
        <w:ind w:hanging="0" w:left="0" w:right="-79"/>
        <w:rPr>
          <w:b/>
          <w:bCs/>
          <w:szCs w:val="24"/>
          <w:lang w:eastAsia="uk-UA"/>
        </w:rPr>
      </w:pPr>
      <w:r>
        <w:rPr>
          <w:b/>
          <w:bCs/>
          <w:szCs w:val="24"/>
          <w:lang w:eastAsia="uk-UA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/>
          <w:b/>
          <w:bCs/>
          <w:i/>
          <w:i/>
          <w:i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Calibri-Bold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Rubik">
    <w:altName w:val="sans-serif"/>
    <w:charset w:val="cc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15c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00f5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7">
    <w:name w:val="heading 7"/>
    <w:basedOn w:val="Normal"/>
    <w:link w:val="7"/>
    <w:qFormat/>
    <w:rsid w:val="0052350c"/>
    <w:pPr>
      <w:keepNext w:val="true"/>
      <w:shd w:val="clear" w:color="auto" w:fill="FFFFFF"/>
      <w:spacing w:lineRule="auto" w:line="240" w:before="0" w:after="0"/>
      <w:jc w:val="center"/>
      <w:outlineLvl w:val="6"/>
    </w:pPr>
    <w:rPr>
      <w:rFonts w:ascii="Times New Roman" w:hAnsi="Times New Roman" w:eastAsia="Times New Roman" w:cs="Times New Roman"/>
      <w:spacing w:val="-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qFormat/>
    <w:rsid w:val="0052350c"/>
    <w:rPr>
      <w:rFonts w:ascii="Times New Roman" w:hAnsi="Times New Roman" w:eastAsia="Times New Roman" w:cs="Times New Roman"/>
      <w:spacing w:val="-1"/>
      <w:sz w:val="28"/>
      <w:szCs w:val="28"/>
      <w:shd w:fill="FFFFFF" w:val="clear"/>
      <w:lang w:eastAsia="ru-RU"/>
    </w:rPr>
  </w:style>
  <w:style w:type="character" w:styleId="c22" w:customStyle="1">
    <w:name w:val="c22"/>
    <w:basedOn w:val="DefaultParagraphFont"/>
    <w:qFormat/>
    <w:rsid w:val="0052350c"/>
    <w:rPr/>
  </w:style>
  <w:style w:type="character" w:styleId="Style12" w:customStyle="1">
    <w:name w:val="Верхний колонтитул Знак"/>
    <w:basedOn w:val="DefaultParagraphFont"/>
    <w:qFormat/>
    <w:rsid w:val="00a948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f608ba"/>
    <w:rPr/>
  </w:style>
  <w:style w:type="character" w:styleId="FontStyle22" w:customStyle="1">
    <w:name w:val="Font Style22"/>
    <w:qFormat/>
    <w:rsid w:val="004f55ca"/>
    <w:rPr>
      <w:rFonts w:ascii="Arial" w:hAnsi="Arial" w:cs="Arial"/>
      <w:b/>
      <w:bCs/>
      <w:sz w:val="20"/>
      <w:szCs w:val="20"/>
    </w:rPr>
  </w:style>
  <w:style w:type="character" w:styleId="Style14" w:customStyle="1">
    <w:name w:val="Основной текст Знак"/>
    <w:basedOn w:val="DefaultParagraphFont"/>
    <w:uiPriority w:val="99"/>
    <w:qFormat/>
    <w:rsid w:val="00e4564a"/>
    <w:rPr>
      <w:rFonts w:ascii="Times New Roman" w:hAnsi="Times New Roman" w:eastAsia="Times New Roman" w:cs="Times New Roman"/>
      <w:color w:val="000000"/>
      <w:sz w:val="28"/>
      <w:szCs w:val="28"/>
      <w:shd w:fill="FFFFFF" w:val="clear"/>
      <w:lang w:val="uk-UA" w:eastAsia="ru-RU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rsid w:val="00e456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y2iqfc" w:customStyle="1">
    <w:name w:val="y2iqfc"/>
    <w:basedOn w:val="DefaultParagraphFont"/>
    <w:qFormat/>
    <w:rsid w:val="000a04c6"/>
    <w:rPr/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7f51a9"/>
    <w:rPr>
      <w:sz w:val="20"/>
      <w:szCs w:val="20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f51a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a03caa"/>
    <w:rPr>
      <w:i/>
      <w:iCs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674de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800f5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00f54"/>
    <w:rPr>
      <w:sz w:val="16"/>
      <w:szCs w:val="16"/>
    </w:rPr>
  </w:style>
  <w:style w:type="character" w:styleId="fontstyle01" w:customStyle="1">
    <w:name w:val="fontstyle01"/>
    <w:qFormat/>
    <w:rsid w:val="00800f54"/>
    <w:rPr>
      <w:rFonts w:ascii="Calibri-Bold" w:hAnsi="Calibri-Bold" w:cs="Times New Roman"/>
      <w:b/>
      <w:bCs/>
      <w:color w:val="233E98"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e4564a"/>
    <w:pPr>
      <w:widowControl w:val="false"/>
      <w:shd w:val="clear" w:color="auto" w:fill="FFFFFF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uk-UA"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Style13"/>
    <w:uiPriority w:val="1"/>
    <w:qFormat/>
    <w:rsid w:val="005a6ce0"/>
    <w:pPr>
      <w:spacing w:lineRule="auto" w:line="276" w:before="0" w:after="200"/>
      <w:ind w:left="720"/>
      <w:contextualSpacing/>
    </w:pPr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Style18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2"/>
    <w:rsid w:val="00a948c8"/>
    <w:pPr>
      <w:widowControl w:val="false"/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qFormat/>
    <w:rsid w:val="00e4564a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 w:customStyle="1">
    <w:name w:val="Обычный1"/>
    <w:qFormat/>
    <w:rsid w:val="00e4564a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0"/>
      <w:lang w:val="ru-RU" w:eastAsia="ru-RU" w:bidi="ar-SA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rsid w:val="007f51a9"/>
    <w:pPr>
      <w:spacing w:lineRule="auto" w:line="240" w:before="0" w:after="200"/>
    </w:pPr>
    <w:rPr>
      <w:sz w:val="20"/>
      <w:szCs w:val="20"/>
      <w:lang w:val="uk-U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674d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00f54"/>
    <w:pPr>
      <w:spacing w:before="0" w:after="120"/>
    </w:pPr>
    <w:rPr>
      <w:sz w:val="16"/>
      <w:szCs w:val="16"/>
    </w:rPr>
  </w:style>
  <w:style w:type="paragraph" w:styleId="user3">
    <w:name w:val="Вміст рамки (user)"/>
    <w:basedOn w:val="Normal"/>
    <w:qFormat/>
    <w:pPr/>
    <w:rPr/>
  </w:style>
  <w:style w:type="paragraph" w:styleId="Title">
    <w:name w:val="Title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12">
    <w:name w:val="Цитата1"/>
    <w:basedOn w:val="Normal"/>
    <w:qFormat/>
    <w:pPr>
      <w:suppressAutoHyphens w:val="true"/>
      <w:spacing w:lineRule="auto" w:line="240" w:before="0" w:after="0"/>
      <w:ind w:firstLine="436" w:left="284" w:right="-58"/>
      <w:jc w:val="both"/>
    </w:pPr>
    <w:rPr>
      <w:rFonts w:ascii="Times New Roman" w:hAnsi="Times New Roman" w:eastAsia="Times New Roman"/>
      <w:sz w:val="24"/>
      <w:lang w:val="ru-RU" w:eastAsia="ar-SA"/>
    </w:rPr>
  </w:style>
  <w:style w:type="paragraph" w:styleId="user4">
    <w:name w:val="Вміст таблиці (user)"/>
    <w:basedOn w:val="Normal"/>
    <w:qFormat/>
    <w:pPr>
      <w:widowControl w:val="false"/>
      <w:suppressLineNumbers/>
    </w:pPr>
    <w:rPr/>
  </w:style>
  <w:style w:type="paragraph" w:styleId="Web">
    <w:name w:val="Обычный (Web) Знак Знак Знак"/>
    <w:basedOn w:val="Normal"/>
    <w:next w:val="NormalWeb"/>
    <w:qFormat/>
    <w:pPr>
      <w:spacing w:lineRule="auto" w:line="240" w:beforeAutospacing="1" w:afterAutospacing="1"/>
    </w:pPr>
    <w:rPr>
      <w:rFonts w:ascii="Liberation Serif" w:hAnsi="Liberation Serif" w:eastAsia="Times New Roman"/>
      <w:color w:val="00000A"/>
      <w:sz w:val="24"/>
      <w:szCs w:val="20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lang w:val="ru-RU" w:eastAsia="zh-CN"/>
    </w:rPr>
  </w:style>
  <w:style w:type="paragraph" w:styleId="cee1fbf7edfbe9">
    <w:name w:val="Оceбe1ыfbчf7нedыfbйe9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uk-UA" w:eastAsia="ru-RU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uk-UA" w:eastAsia="uk-UA" w:bidi="ar-SA"/>
    </w:rPr>
  </w:style>
  <w:style w:type="numbering" w:styleId="Style19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v.e-tender.ua/tenderDetailes/a332a13994fd4157a7c958ba4d724fc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LibreOffice/25.2.5.2$Windows_X86_64 LibreOffice_project/03d19516eb2e1dd5d4ccd751a0d6f35f35e08022</Application>
  <AppVersion>15.0000</AppVersion>
  <Pages>9</Pages>
  <Words>1850</Words>
  <Characters>12326</Characters>
  <CharactersWithSpaces>14098</CharactersWithSpaces>
  <Paragraphs>259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2025-01-07T08:33:00Z</dcterms:created>
  <dc:creator>user</dc:creator>
  <dc:description/>
  <dc:language>uk-UA</dc:language>
  <cp:lastModifiedBy/>
  <dcterms:modified xsi:type="dcterms:W3CDTF">2025-08-20T14:43:12Z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