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закупівлі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Arial" w:ascii="Times New Roman" w:hAnsi="Times New Roman"/>
          <w:b/>
          <w:bCs/>
          <w:color w:val="000000"/>
          <w:sz w:val="24"/>
          <w:szCs w:val="24"/>
          <w:lang w:val="uk-UA" w:eastAsia="ru-RU"/>
        </w:rPr>
        <w:t>Монітор пацієнта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ru-RU" w:bidi="hi-IN"/>
        </w:rPr>
        <w:t xml:space="preserve">«Код ДК 021:2015 – 33190000-8: Медичне обладнання та вироби медичного призначення різні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auto"/>
          <w:sz w:val="26"/>
          <w:szCs w:val="26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      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Arial" w:ascii="Times New Roman" w:hAnsi="Times New Roman"/>
          <w:b/>
          <w:bCs/>
          <w:color w:val="000000"/>
          <w:sz w:val="24"/>
          <w:szCs w:val="24"/>
          <w:lang w:val="uk-UA" w:eastAsia="ru-RU"/>
        </w:rPr>
        <w:t>Монітор пацієнта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/>
          <w:b/>
          <w:bCs w:val="false"/>
          <w:color w:val="000000"/>
          <w:sz w:val="24"/>
          <w:szCs w:val="24"/>
          <w:lang w:val="uk-UA" w:eastAsia="zh-CN" w:bidi="hi-IN"/>
        </w:rPr>
      </w:pPr>
      <w:r>
        <w:rPr>
          <w:rFonts w:eastAsia="Arial" w:ascii="Times New Roman" w:hAnsi="Times New Roman"/>
          <w:b/>
          <w:bCs w:val="false"/>
          <w:color w:val="000000"/>
          <w:sz w:val="24"/>
          <w:szCs w:val="24"/>
          <w:lang w:val="uk-UA" w:eastAsia="ru-RU" w:bidi="hi-IN"/>
        </w:rPr>
        <w:t xml:space="preserve">«Код ДК 021:2015 – </w:t>
      </w:r>
      <w:r>
        <w:rPr>
          <w:rFonts w:eastAsia="Arial" w:ascii="Times New Roman" w:hAnsi="Times New Roman"/>
          <w:b/>
          <w:bCs/>
          <w:color w:val="000000"/>
          <w:sz w:val="24"/>
          <w:szCs w:val="24"/>
          <w:lang w:val="uk-UA" w:eastAsia="ru-RU" w:bidi="hi-IN"/>
        </w:rPr>
        <w:t xml:space="preserve">33190000-8: Медичне обладнання та вироби медичного призначення різні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 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u w:val="none"/>
          <w:shd w:fill="F0F5F2" w:val="clear"/>
          <w:lang w:eastAsia="uk-UA"/>
        </w:rPr>
      </w:pPr>
      <w:r>
        <w:rPr>
          <w:rFonts w:eastAsia="Times New Roman" w:ascii="Times New Roman" w:hAnsi="Times New Roman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  <w:shd w:fill="F0F5F2" w:val="clear"/>
          <w:lang w:eastAsia="uk-UA"/>
        </w:rPr>
        <w:t> </w:t>
      </w:r>
      <w:bookmarkStart w:id="1" w:name="selectable"/>
      <w:bookmarkEnd w:id="1"/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0F5F2" w:val="clear"/>
          <w:lang w:eastAsia="uk-UA"/>
        </w:rPr>
        <w:t>UA-2025-12-05-002516-a</w:t>
      </w:r>
      <w:r>
        <w:rPr>
          <w:rFonts w:eastAsia="Times New Roman" w:ascii="Times New Roman" w:hAnsi="Times New Roman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  <w:shd w:fill="F0F5F2" w:val="clear"/>
          <w:lang w:eastAsia="uk-UA"/>
        </w:rPr>
        <w:t>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53 867</w:t>
      </w:r>
      <w:r>
        <w:rPr>
          <w:rFonts w:eastAsia="Times New Roman" w:ascii="Times New Roman" w:hAnsi="Times New Roman"/>
          <w:b/>
          <w:bCs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,00</w:t>
      </w:r>
      <w:r>
        <w:rPr>
          <w:rFonts w:eastAsia="Times New Roman" w:ascii="Times New Roman" w:hAnsi="Times New Roman"/>
          <w:color w:val="000000"/>
          <w:sz w:val="24"/>
          <w:szCs w:val="24"/>
          <w:u w:val="none"/>
          <w:lang w:eastAsia="uk-UA"/>
        </w:rPr>
        <w:t>  грн з ПДВ</w:t>
      </w:r>
    </w:p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Розмір бюджетного призначення:</w:t>
      </w:r>
      <w:r>
        <w:rPr>
          <w:rFonts w:eastAsia="Times New Roman" w:ascii="Times New Roman" w:hAnsi="Times New Roman"/>
          <w:color w:val="000000"/>
          <w:sz w:val="24"/>
          <w:szCs w:val="24"/>
          <w:u w:val="none"/>
          <w:lang w:eastAsia="uk-UA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Джерело фінансування: власний бюджет (кошти від господарської діяльності підприємства)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21"/>
              <w:spacing w:before="0" w:after="0"/>
              <w:ind w:hanging="0" w:left="0" w:right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</w:tbl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rFonts w:eastAsia="Times New Roman" w:ascii="Times New Roman" w:hAnsi="Times New Roman"/>
          <w:bCs/>
          <w:color w:val="000000"/>
          <w:szCs w:val="24"/>
          <w:lang w:eastAsia="uk-UA"/>
        </w:rPr>
        <w:t xml:space="preserve">Строк </w:t>
      </w:r>
      <w:r>
        <w:rPr>
          <w:rFonts w:eastAsia="Times New Roman" w:ascii="Times New Roman" w:hAnsi="Times New Roman"/>
          <w:bCs/>
          <w:color w:val="000000"/>
          <w:szCs w:val="24"/>
          <w:lang w:val="uk-UA" w:eastAsia="uk-UA"/>
        </w:rPr>
        <w:t>поставки товару</w:t>
      </w:r>
      <w:r>
        <w:rPr>
          <w:rFonts w:eastAsia="Times New Roman" w:ascii="Times New Roman" w:hAnsi="Times New Roman"/>
          <w:bCs/>
          <w:color w:val="000000"/>
          <w:szCs w:val="24"/>
          <w:lang w:eastAsia="uk-UA"/>
        </w:rPr>
        <w:t>:</w:t>
      </w:r>
      <w:r>
        <w:rPr>
          <w:rFonts w:eastAsia="Times New Roman" w:ascii="Times New Roman" w:hAnsi="Times New Roman"/>
          <w:i/>
          <w:iCs/>
          <w:color w:val="000000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color w:val="000000"/>
          <w:szCs w:val="24"/>
          <w:lang w:eastAsia="uk-UA"/>
        </w:rPr>
        <w:t> </w:t>
      </w: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 xml:space="preserve">до </w:t>
      </w:r>
      <w:r>
        <w:rPr>
          <w:rFonts w:eastAsia="Times New Roman" w:ascii="Times New Roman" w:hAnsi="Times New Roman"/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>202</w:t>
      </w:r>
      <w:r>
        <w:rPr>
          <w:rFonts w:eastAsia="Times New Roman" w:ascii="Times New Roman" w:hAnsi="Times New Roman"/>
          <w:b/>
          <w:bCs/>
          <w:color w:val="000000"/>
          <w:szCs w:val="24"/>
          <w:lang w:val="uk-UA" w:eastAsia="uk-UA"/>
        </w:rPr>
        <w:t>5</w:t>
      </w:r>
      <w:r>
        <w:rPr>
          <w:rFonts w:eastAsia="Times New Roman" w:ascii="Times New Roman" w:hAnsi="Times New Roman"/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35" w:leader="none"/>
        </w:tabs>
        <w:spacing w:lineRule="auto" w:line="276"/>
        <w:ind w:left="2832" w:right="283"/>
        <w:jc w:val="right"/>
        <w:rPr>
          <w:rFonts w:ascii="Times New Roman" w:hAnsi="Times New Roman" w:eastAsia="Times New Roman"/>
          <w:color w:val="000000"/>
        </w:rPr>
      </w:pPr>
      <w:r>
        <w:rPr>
          <w:rFonts w:eastAsia="Times New Roman" w:ascii="Times New Roman" w:hAnsi="Times New Roman"/>
          <w:color w:val="000000"/>
        </w:rPr>
      </w:r>
      <w:bookmarkStart w:id="2" w:name="_Toc382897124"/>
      <w:bookmarkStart w:id="3" w:name="_Toc382896085"/>
      <w:bookmarkStart w:id="4" w:name="_Toc382897124"/>
      <w:bookmarkStart w:id="5" w:name="_Toc382896085"/>
      <w:bookmarkEnd w:id="4"/>
      <w:bookmarkEnd w:id="5"/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lang w:val="uk-UA" w:eastAsia="zh-CN" w:bidi="hi-IN"/>
        </w:rPr>
        <w:t>Інформація про необхідні технічні, якісні та кількісні характеристики предмета закупівлі, в тому числі документи, які повинен надати учасник для підтвердження відповідності зазначеним характеристик</w:t>
      </w:r>
    </w:p>
    <w:p>
      <w:pPr>
        <w:pStyle w:val="Normal"/>
        <w:rPr>
          <w:rFonts w:ascii="Times New Roman" w:hAnsi="Times New Roman" w:eastAsia="Times New Roman"/>
          <w:color w:val="000000"/>
          <w:lang w:val="uk-UA" w:eastAsia="uk-UA"/>
        </w:rPr>
      </w:pPr>
      <w:r>
        <w:rPr>
          <w:rFonts w:eastAsia="Times New Roman" w:ascii="Times New Roman" w:hAnsi="Times New Roman"/>
          <w:color w:val="000000"/>
          <w:lang w:val="uk-UA" w:eastAsia="uk-UA"/>
        </w:rPr>
        <w:t xml:space="preserve"> </w:t>
      </w:r>
      <w:r>
        <w:rPr>
          <w:rFonts w:eastAsia="Times New Roman" w:ascii="Times New Roman" w:hAnsi="Times New Roman"/>
          <w:color w:val="000000"/>
          <w:lang w:val="uk-UA" w:eastAsia="uk-UA"/>
        </w:rPr>
        <w:t xml:space="preserve">                             </w:t>
      </w: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                                               </w:t>
      </w:r>
      <w:r>
        <w:rPr>
          <w:rFonts w:eastAsia="Arial" w:ascii="Times New Roman" w:hAnsi="Times New Roman"/>
          <w:b/>
          <w:bCs/>
          <w:color w:val="000000"/>
          <w:sz w:val="24"/>
          <w:szCs w:val="24"/>
          <w:lang w:val="uk-UA" w:eastAsia="ru-RU"/>
        </w:rPr>
        <w:t>Монітор пацієнта</w:t>
      </w: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rial" w:ascii="Times New Roman" w:hAnsi="Times New Roman"/>
          <w:b/>
          <w:sz w:val="24"/>
          <w:szCs w:val="24"/>
          <w:lang w:val="uk-UA" w:eastAsia="ru-RU"/>
        </w:rPr>
        <w:t xml:space="preserve">«Код ДК 021:2015 – </w:t>
      </w:r>
      <w:r>
        <w:rPr>
          <w:rFonts w:eastAsia="Arial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33190000-8: Медичне обладнання та вироби медичного призначення різні </w:t>
      </w:r>
      <w:r>
        <w:rPr>
          <w:rFonts w:eastAsia="Arial" w:ascii="Times New Roman" w:hAnsi="Times New Roman"/>
          <w:b/>
          <w:sz w:val="24"/>
          <w:szCs w:val="24"/>
          <w:lang w:val="uk-UA" w:eastAsia="ru-RU"/>
        </w:rPr>
        <w:t>(Національний класифікатор НК 024:2023 «Класифікатор медичних виробів»: 33586 – Система моніторингу фізіологічних показників одного пацієнта)»,</w:t>
      </w:r>
      <w:r>
        <w:rPr>
          <w:rFonts w:eastAsia="Aptos;Cambria"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1F1F1F"/>
          <w:sz w:val="24"/>
          <w:szCs w:val="24"/>
          <w:shd w:fill="FFFFFF" w:val="clear"/>
          <w:lang w:val="uk-UA"/>
        </w:rPr>
        <w:t xml:space="preserve">код НК 031:2024 – </w:t>
      </w:r>
      <w:r>
        <w:rPr>
          <w:rFonts w:ascii="Times New Roman" w:hAnsi="Times New Roman"/>
          <w:b/>
          <w:color w:val="1F1F1F"/>
          <w:sz w:val="24"/>
          <w:szCs w:val="24"/>
          <w:shd w:fill="FFFFFF" w:val="clear"/>
        </w:rPr>
        <w:t>Z</w:t>
      </w:r>
      <w:r>
        <w:rPr>
          <w:rFonts w:ascii="Times New Roman" w:hAnsi="Times New Roman"/>
          <w:b/>
          <w:color w:val="1F1F1F"/>
          <w:sz w:val="24"/>
          <w:szCs w:val="24"/>
          <w:shd w:fill="FFFFFF" w:val="clear"/>
          <w:lang w:val="uk-UA"/>
        </w:rPr>
        <w:t>120302</w:t>
      </w:r>
      <w:r>
        <w:rPr>
          <w:rFonts w:ascii="Times New Roman" w:hAnsi="Times New Roman"/>
          <w:b/>
          <w:color w:val="1F1F1F"/>
          <w:sz w:val="24"/>
          <w:szCs w:val="24"/>
          <w:shd w:fill="FFFFFF" w:val="clear"/>
        </w:rPr>
        <w:t> </w:t>
      </w:r>
      <w:r>
        <w:rPr>
          <w:rFonts w:ascii="Times New Roman" w:hAnsi="Times New Roman"/>
          <w:b/>
          <w:color w:val="040C28"/>
          <w:sz w:val="24"/>
          <w:szCs w:val="24"/>
          <w:shd w:fill="FFFFFF" w:val="clear"/>
          <w:lang w:val="uk-UA"/>
        </w:rPr>
        <w:t>Інструменти для моніторингу основних показників життєдіяльності</w:t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4"/>
          <w:szCs w:val="24"/>
          <w:shd w:fill="FFFFFF" w:val="clear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shd w:fill="FFFFFF" w:val="clear"/>
          <w:lang w:val="uk-UA"/>
        </w:rPr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309"/>
        <w:gridCol w:w="4559"/>
        <w:gridCol w:w="1678"/>
      </w:tblGrid>
      <w:tr>
        <w:trPr>
          <w:trHeight w:val="627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№</w:t>
            </w:r>
            <w:r>
              <w:rPr>
                <w:rFonts w:eastAsia="Times New Roman" w:ascii="Times New Roman" w:hAnsi="Times New Roman"/>
                <w:b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uk-UA"/>
              </w:rPr>
              <w:t>з/п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Найменування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spacing w:before="0" w:after="160"/>
              <w:jc w:val="center"/>
              <w:rPr>
                <w:rFonts w:ascii="Times New Roman" w:hAnsi="Times New Roman" w:eastAsia="Tahoma"/>
                <w:b/>
                <w:bCs/>
                <w:color w:val="000000"/>
                <w:lang w:eastAsia="uk-UA" w:bidi="hi-IN"/>
              </w:rPr>
            </w:pPr>
            <w:r>
              <w:rPr>
                <w:rFonts w:eastAsia="Tahoma" w:ascii="Times New Roman" w:hAnsi="Times New Roman"/>
                <w:b/>
                <w:bCs/>
                <w:color w:val="000000"/>
                <w:lang w:eastAsia="uk-UA" w:bidi="hi-IN"/>
              </w:rPr>
              <w:t>Кількість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spacing w:before="0" w:after="160"/>
              <w:jc w:val="center"/>
              <w:rPr>
                <w:rFonts w:ascii="Times New Roman" w:hAnsi="Times New Roman" w:eastAsia="Tahoma"/>
                <w:b/>
                <w:bCs/>
                <w:color w:val="000000"/>
                <w:lang w:eastAsia="uk-UA" w:bidi="hi-IN"/>
              </w:rPr>
            </w:pPr>
            <w:r>
              <w:rPr>
                <w:rFonts w:eastAsia="Tahoma" w:ascii="Times New Roman" w:hAnsi="Times New Roman"/>
                <w:b/>
                <w:bCs/>
                <w:color w:val="000000"/>
                <w:lang w:eastAsia="uk-UA" w:bidi="hi-IN"/>
              </w:rPr>
              <w:t>Одиниця виміру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Монітор пацієнта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00" w:leader="none"/>
                <w:tab w:val="center" w:pos="731" w:leader="none"/>
              </w:tabs>
              <w:spacing w:before="0" w:after="16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ab/>
              <w:tab/>
              <w:t>шт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false"/>
        <w:ind w:hanging="0" w:left="0" w:right="0"/>
        <w:jc w:val="center"/>
        <w:outlineLvl w:val="1"/>
        <w:rPr>
          <w:rFonts w:ascii="Times New Roman" w:hAnsi="Times New Roman" w:eastAsia="Times New Roman"/>
          <w:b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 w:eastAsia="uk-UA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ind w:hanging="0" w:left="0" w:right="0"/>
        <w:jc w:val="center"/>
        <w:outlineLvl w:val="1"/>
        <w:rPr>
          <w:rFonts w:ascii="Times New Roman" w:hAnsi="Times New Roman" w:eastAsia="Times New Roman"/>
          <w:b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val="uk-UA" w:eastAsia="uk-UA"/>
        </w:rPr>
        <w:t>МЕДИКО-ТЕХНІЧНІ ВИМОГИ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ind w:hanging="0" w:left="0" w:right="0"/>
        <w:jc w:val="center"/>
        <w:outlineLvl w:val="1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z w:val="24"/>
          <w:szCs w:val="24"/>
          <w:lang w:val="uk-UA" w:eastAsia="uk-UA"/>
        </w:rPr>
        <w:t xml:space="preserve">до монітора пацієнта 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/>
          <w:bCs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bCs/>
          <w:sz w:val="24"/>
          <w:szCs w:val="24"/>
          <w:lang w:val="uk-UA" w:eastAsia="uk-UA"/>
        </w:rPr>
      </w:r>
    </w:p>
    <w:tbl>
      <w:tblPr>
        <w:tblW w:w="1062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"/>
        <w:gridCol w:w="4664"/>
        <w:gridCol w:w="141"/>
        <w:gridCol w:w="3259"/>
        <w:gridCol w:w="9"/>
        <w:gridCol w:w="1979"/>
      </w:tblGrid>
      <w:tr>
        <w:trPr/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Загальні відомості виробу, що пропонується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>:</w:t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№</w:t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Загальні відомості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Ступінь інформації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Дані виробу, що пропонує учасник</w:t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uk-UA" w:eastAsia="ru-RU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exact" w:line="259" w:before="0" w:after="160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 w:eastAsia="uk-UA"/>
              </w:rPr>
              <w:t>Комерційне (торговельне) найменування виробу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365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  <w:t>вказати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Cs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Cs/>
                <w:sz w:val="22"/>
                <w:szCs w:val="22"/>
                <w:lang w:val="uk-UA" w:eastAsia="ru-RU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 w:eastAsia="uk-UA"/>
              </w:rPr>
              <w:t>Модель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365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  <w:t>вказати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Cs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Cs/>
                <w:sz w:val="22"/>
                <w:szCs w:val="22"/>
                <w:lang w:val="uk-UA" w:eastAsia="ru-RU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 w:eastAsia="uk-UA"/>
              </w:rPr>
              <w:t xml:space="preserve">Виробник 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365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  <w:t>вказати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Cs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Cs/>
                <w:sz w:val="22"/>
                <w:szCs w:val="22"/>
                <w:lang w:val="uk-UA" w:eastAsia="ru-RU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 w:eastAsia="uk-UA"/>
              </w:rPr>
              <w:t>Країна виробництва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365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  <w:t>вказати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Cs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Cs/>
                <w:sz w:val="22"/>
                <w:szCs w:val="22"/>
                <w:lang w:val="uk-UA" w:eastAsia="ru-RU"/>
              </w:rPr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exact" w:line="259" w:before="0" w:after="160"/>
              <w:ind w:right="-189"/>
              <w:rPr>
                <w:rFonts w:ascii="Times New Roman" w:hAnsi="Times New Roman" w:eastAsia="Times New Roman"/>
                <w:bCs/>
                <w:spacing w:val="-7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pacing w:val="-7"/>
                <w:sz w:val="24"/>
                <w:szCs w:val="24"/>
                <w:lang w:val="uk-UA" w:eastAsia="uk-UA"/>
              </w:rPr>
              <w:t>Гарантійний термін експлуатації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pacing w:val="-4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4"/>
                <w:sz w:val="20"/>
                <w:szCs w:val="20"/>
                <w:lang w:eastAsia="zh-CN"/>
              </w:rPr>
              <w:t>24 місяці з дати введення в експлуатацію.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Призначення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 виробу:</w:t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№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ind w:right="-365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Вимога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Відповідність, з посиланням на сторінку технічної документації</w:t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lang w:val="uk-UA" w:eastAsia="ru-RU"/>
              </w:rPr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Монітор пацієнта повинен бути призначений для моніторингу, вимірювання, реєстрації фізіологічних параметрів: ЕКГ, частота дихання (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 w:eastAsia="uk-UA"/>
              </w:rPr>
              <w:t>RESP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), НІАТ, SpO2, частота пульсу, температура тіла, інвазивний артеріальний тиск (ІАТ), параметри капнографії (СО2)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Технічні 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характеристики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 виробу: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№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Найменування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Значення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Відповідність, з посиланням на сторінку технічної документації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живлення монітора: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Напруга живлення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100-240 В~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Частота живлення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50 / 60Гц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Тривалість роботи від акумулятора, год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≥ 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 годин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дисплею: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Характеристики дисплею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кольоровий, сенсорний,</w:t>
            </w:r>
          </w:p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діагональ 12.1 дюйми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ЕКГ: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Режим відведень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5 відведень (R, L, F, N, C)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ЧСС для дорослих пацієнтів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15 до 300 уд/хв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70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ЧСС для дітей та новонароджених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15 до 350 уд/хв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Вибір підсилення сигналу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Symbol" w:cs="Symbol" w:ascii="Times New Roman" w:hAnsi="Times New Roman"/>
                <w:sz w:val="24"/>
                <w:szCs w:val="24"/>
                <w:lang w:val="uk-UA" w:eastAsia="uk-UA"/>
              </w:rPr>
              <w:t>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0.125, </w:t>
            </w:r>
            <w:r>
              <w:rPr>
                <w:rFonts w:eastAsia="Symbol" w:cs="Symbol" w:ascii="Times New Roman" w:hAnsi="Times New Roman"/>
                <w:sz w:val="24"/>
                <w:szCs w:val="24"/>
                <w:lang w:val="uk-UA" w:eastAsia="uk-UA"/>
              </w:rPr>
              <w:t>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0.25, </w:t>
            </w:r>
            <w:r>
              <w:rPr>
                <w:rFonts w:eastAsia="Symbol" w:cs="Symbol" w:ascii="Times New Roman" w:hAnsi="Times New Roman"/>
                <w:sz w:val="24"/>
                <w:szCs w:val="24"/>
                <w:lang w:val="uk-UA" w:eastAsia="uk-UA"/>
              </w:rPr>
              <w:t>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0.5, </w:t>
            </w:r>
            <w:r>
              <w:rPr>
                <w:rFonts w:eastAsia="Symbol" w:cs="Symbol" w:ascii="Times New Roman" w:hAnsi="Times New Roman"/>
                <w:sz w:val="24"/>
                <w:szCs w:val="24"/>
                <w:lang w:val="uk-UA" w:eastAsia="uk-UA"/>
              </w:rPr>
              <w:t>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1, </w:t>
            </w:r>
            <w:r>
              <w:rPr>
                <w:rFonts w:eastAsia="Symbol" w:cs="Symbol" w:ascii="Times New Roman" w:hAnsi="Times New Roman"/>
                <w:sz w:val="24"/>
                <w:szCs w:val="24"/>
                <w:lang w:val="uk-UA" w:eastAsia="uk-UA"/>
              </w:rPr>
              <w:t>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2, </w:t>
            </w:r>
            <w:r>
              <w:rPr>
                <w:rFonts w:eastAsia="Symbol" w:cs="Symbol" w:ascii="Times New Roman" w:hAnsi="Times New Roman"/>
                <w:sz w:val="24"/>
                <w:szCs w:val="24"/>
                <w:lang w:val="uk-UA" w:eastAsia="uk-UA"/>
              </w:rPr>
              <w:t>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4, Авто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Вибір швидкості запису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25, 50 мм/с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Вимірювання ST-сегменту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uppressAutoHyphens w:val="false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Коефіцієнт ослаблення синфазного сигналу / пропускна здатність каналу ЕКГ: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suppressAutoHyphens w:val="false"/>
              <w:ind w:hanging="142" w:left="312" w:right="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режим моніторингу, 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suppressAutoHyphens w:val="false"/>
              <w:ind w:hanging="142" w:left="312" w:right="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діагностичний режим, 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suppressAutoHyphens w:val="false"/>
              <w:ind w:hanging="142" w:left="312" w:right="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хірургічний режим, 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suppressAutoHyphens w:val="false"/>
              <w:spacing w:before="0" w:after="160"/>
              <w:ind w:hanging="142" w:left="312" w:right="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режим ST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uppressAutoHyphens w:val="false"/>
              <w:snapToGrid w:val="false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  <w:p>
            <w:pPr>
              <w:pStyle w:val="Normal"/>
              <w:pBdr/>
              <w:suppressAutoHyphens w:val="false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  <w:p>
            <w:pPr>
              <w:pStyle w:val="Normal"/>
              <w:pBdr/>
              <w:suppressAutoHyphens w:val="false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&gt; 105 дБ / 0.5-40 Гц,</w:t>
            </w:r>
          </w:p>
          <w:p>
            <w:pPr>
              <w:pStyle w:val="Normal"/>
              <w:pBdr/>
              <w:suppressAutoHyphens w:val="false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&gt; 90 дБ / 0.05-150 Гц,</w:t>
            </w:r>
          </w:p>
          <w:p>
            <w:pPr>
              <w:pStyle w:val="Normal"/>
              <w:pBdr/>
              <w:suppressAutoHyphens w:val="false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&gt; 105 дБ / 1-20 Гц,</w:t>
            </w:r>
          </w:p>
          <w:p>
            <w:pPr>
              <w:pStyle w:val="Normal"/>
              <w:pBdr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&gt; 105 дБ / 0.05-40 Гц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Аналіз аритмії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Кількість видів аритмій, які може розпізнати монітор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23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частоти дихання (RESP):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Метод вимірювання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грудний імпеданс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частоти дихання для дорослих пацієнтів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0 до 120 дих/хв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частоти дихання для дітей та новонароджених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0 до 150 дих/хв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SpO2: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вимірювань SpO2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0 до 100%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вимірювань індексу перфузії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0.05 до 20%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частоти пульсу (ЧП):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частоти пульсу від датчика SpO2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25 до 240 уд/хв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частоти пульсу від датчика НІАТ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40 до 240 уд/хв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частоти пульсу від датчика ІАТ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20 до 350 уд/хв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неінвазивного артеріального тиску (НІАТ):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Метод вимірювання 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автоматичний осциластистичний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Режим вимірювання 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ручний, автоматичний, тривалий  (послідовні вимірювання)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Вимірювання систолічного, діастолічного і середнього артеріального тиску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Функція аналізу НІАТ за попередньо встановленим проміжком часу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Захист від  надмірного тиску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наявність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Функція венопункції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наявність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температури (ТЕМП):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 0 до 45°С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Кількість каналів для вимірювання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 канали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інвазивного артеріального тиску (ІАТ):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артеріального тиску (ART)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0 – 300 мм.рт.ст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легеневого артеріального тиску (PA)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-6 – 120 мм.рт.ст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Діапазон вимірювання центрального венозного тиску (CVP)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-10 – 40 мм.рт.ст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Діапазон вимірювання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uk-UA"/>
              </w:rPr>
              <w:t>внутрішньо- черепного тиску</w:t>
            </w: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 (ICP)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-10 – 40 мм.рт.ст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Кількість каналів для вимірювання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 канали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вимірювання параметрів капнографії (СО2):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Монітор повинен мати слот для встановлення модуля СО2 або роз’єм для підключення модуля СО2, який забезпечить можливість розширення функціональності монітора в майбутньому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Вимоги до пам'яті монітора: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Дані трендів (табличні та графічні)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160 годин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Виміри НІАТ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2000 груп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Події тривоги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200 подій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Хвильові форми сигналів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48 годин або більше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10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ind w:right="-127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uk-UA"/>
              </w:rPr>
              <w:t>Інші вимоги:</w:t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Мова інтерфейсу користувача програмного забезпечення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українська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Функція прямого друку на зовнішньому лазерному принтері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Функція налаштування конфігурації кнопок меню швидкого доступу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Режим демонстрації (Демо-режим)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Режим заморозки (Стоп-кадр)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Нічний режим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Розрахунок доз лікарських препаратів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Розрахунок гемодинамічних показників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Розрахунок параметрів вентиляції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Розрахунок параметрів оксигенації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Розрахунок функції нирок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Режим відображення «</w:t>
            </w:r>
            <w:bookmarkStart w:id="6" w:name="_Hlk199931169"/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Стандартний екран</w:t>
            </w:r>
            <w:bookmarkEnd w:id="6"/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» з функцією конфігурації параметрів на екрані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Режим відображення «Екран великий шрифт» з функцією конфігурації параметрів на екрані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Режим відображення «Інший монітор» - для перегляду даних на інших моніторах підключених по локальній мережі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Формат файлів даних пацієнта, що передаються з пам’яті монітора на USB-флеш-накопичувач / сервер для подальшого опрацювання.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.txt, .xls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341" w:hRule="atLeast"/>
        </w:trPr>
        <w:tc>
          <w:tcPr>
            <w:tcW w:w="5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Монітор повинен бути сумісним для підключення і роботи з центральною станцією моніторингу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відповідність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64" w:hRule="atLeast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Комплектація </w:t>
            </w:r>
          </w:p>
        </w:tc>
      </w:tr>
      <w:tr>
        <w:trPr>
          <w:trHeight w:val="264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№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pBdr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Найменування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Кількість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ind w:right="-4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Відповідність, з посиланням на сторінку технічної документації</w:t>
            </w:r>
          </w:p>
        </w:tc>
      </w:tr>
      <w:tr>
        <w:trPr>
          <w:trHeight w:val="15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Монітор пацієнта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7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Кабель ЕКГ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129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Електроди ЕКГ одноразові для дорослих пацієнтів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комплект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val="uk-UA" w:eastAsia="uk-UA"/>
              </w:rPr>
            </w:r>
          </w:p>
        </w:tc>
      </w:tr>
      <w:tr>
        <w:trPr>
          <w:trHeight w:val="526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Датчик SpO2 для дорослих пацієнтів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24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Температурний датчик нашкірний для дорослих пацієнтів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129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Температурний датчик для ректальний для дорослих пацієнтів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129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Манжета НІАТ для дорослих пацієнтів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129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Провід вирівнювання потенціалів  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129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Набір датчика ІАТ (Abbott)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2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129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val="uk-UA" w:eastAsia="ru-RU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Посібник користувача (інструкція з експлуатації)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1 шт.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ind w:left="-116" w:right="-1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>
          <w:trHeight w:val="93" w:hRule="atLeast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Примітка: Будь-які інші частини виробу та/або аксесуари необхідні для належного встановлення та експлуатації виробу повинні бути включені в комплект постачання</w:t>
            </w:r>
          </w:p>
        </w:tc>
      </w:tr>
      <w:tr>
        <w:trPr>
          <w:trHeight w:val="70" w:hRule="atLeast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uppressAutoHyphens w:val="false"/>
              <w:spacing w:before="0" w:after="0"/>
              <w:contextualSpacing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>Інші умови</w:t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ind w:firstLine="129" w:left="-129" w:right="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№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 xml:space="preserve">Документація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Вимога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b/>
                <w:lang w:val="uk-UA" w:eastAsia="uk-UA"/>
              </w:rPr>
            </w:pPr>
            <w:r>
              <w:rPr>
                <w:rFonts w:eastAsia="Times New Roman" w:ascii="Times New Roman" w:hAnsi="Times New Roman"/>
                <w:b/>
                <w:lang w:val="uk-UA" w:eastAsia="uk-UA"/>
              </w:rPr>
              <w:t>Відповідність</w:t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Декларація відповідності Технічному регламенту щодо медичних виробів,  затвердженого ПКМУ № 753 від 02 жовтня 2013 р..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наявність, додати до пропозиції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5.2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 xml:space="preserve">Сертифікат відповідності Технічному регламенту щодо медичних виробів,  затвердженого ПКМУ № 753 від 02 жовтня 2013 р..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наявність, додати до пропозиції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5.3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Посібник користувача (інструкція з використання) розроблений відповідно до вимог ПКМУ № 753 від 02 жовтня 2013 р., з яким буде постачатися запропонований товар.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наявність, додати до пропозиції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5.4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Оригінал листа від виробника або його офіційного представника про можливість проведення монтажних і сервісних робіт фахівцями постачальника, які уповноважені виробником або його офіційним представником в Україні.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наявність, додати до пропозиції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5.5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Оригінал або копію гарантійного листа від виробника (або його представництва/філії, повноваження яких діють на території України) чи уповноваженого виробником представника, дилера або дистриб’ютора, що засвідчує можливість поставки товару (предмета закупівлі) у кількості та в строки, визначені тендерною документацією та пропозицією учасника. Лист має включати назву предмета закупівлі, найменування замовника та номер оголошення про процедуру закупівлі.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  <w:t>наявність, додати до пропозиції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Times New Roman"/>
          <w:color w:val="000000"/>
          <w:lang w:val="uk-UA" w:eastAsia="uk-UA"/>
        </w:rPr>
      </w:pPr>
      <w:r>
        <w:rPr>
          <w:rFonts w:eastAsia="Times New Roman" w:ascii="Times New Roman" w:hAnsi="Times New Roman"/>
          <w:color w:val="000000"/>
          <w:lang w:val="uk-UA" w:eastAsia="uk-UA"/>
        </w:rPr>
        <w:t xml:space="preserve">                     </w:t>
      </w: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                            </w:t>
      </w:r>
      <w:bookmarkStart w:id="7" w:name="_Toc382897124_копія_1_копія_1"/>
      <w:bookmarkStart w:id="8" w:name="_Toc382896085_копія_1_копія_1"/>
      <w:bookmarkStart w:id="9" w:name="_Toc382897124_копія_1"/>
      <w:bookmarkStart w:id="10" w:name="_Toc382896085_копія_1"/>
      <w:bookmarkEnd w:id="7"/>
      <w:bookmarkEnd w:id="8"/>
      <w:bookmarkEnd w:id="9"/>
      <w:bookmarkEnd w:id="1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Calibri-Bold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2.%2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3.%2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4.%2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5c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00f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7">
    <w:name w:val="heading 7"/>
    <w:basedOn w:val="Normal"/>
    <w:link w:val="7"/>
    <w:qFormat/>
    <w:rsid w:val="0052350c"/>
    <w:pPr>
      <w:keepNext w:val="true"/>
      <w:shd w:val="clear" w:color="auto" w:fill="FFFFFF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spacing w:val="-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qFormat/>
    <w:rsid w:val="0052350c"/>
    <w:rPr>
      <w:rFonts w:ascii="Times New Roman" w:hAnsi="Times New Roman" w:eastAsia="Times New Roman" w:cs="Times New Roman"/>
      <w:spacing w:val="-1"/>
      <w:sz w:val="28"/>
      <w:szCs w:val="28"/>
      <w:shd w:fill="FFFFFF" w:val="clear"/>
      <w:lang w:eastAsia="ru-RU"/>
    </w:rPr>
  </w:style>
  <w:style w:type="character" w:styleId="c22" w:customStyle="1">
    <w:name w:val="c22"/>
    <w:basedOn w:val="DefaultParagraphFont"/>
    <w:qFormat/>
    <w:rsid w:val="0052350c"/>
    <w:rPr/>
  </w:style>
  <w:style w:type="character" w:styleId="Style12" w:customStyle="1">
    <w:name w:val="Верхний колонтитул Знак"/>
    <w:basedOn w:val="DefaultParagraphFont"/>
    <w:qFormat/>
    <w:rsid w:val="00a948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f608ba"/>
    <w:rPr/>
  </w:style>
  <w:style w:type="character" w:styleId="FontStyle22" w:customStyle="1">
    <w:name w:val="Font Style22"/>
    <w:qFormat/>
    <w:rsid w:val="004f55ca"/>
    <w:rPr>
      <w:rFonts w:ascii="Arial" w:hAnsi="Arial" w:cs="Arial"/>
      <w:b/>
      <w:bCs/>
      <w:sz w:val="20"/>
      <w:szCs w:val="20"/>
    </w:rPr>
  </w:style>
  <w:style w:type="character" w:styleId="Style14" w:customStyle="1">
    <w:name w:val="Основной текст Знак"/>
    <w:basedOn w:val="DefaultParagraphFont"/>
    <w:uiPriority w:val="99"/>
    <w:qFormat/>
    <w:rsid w:val="00e4564a"/>
    <w:rPr>
      <w:rFonts w:ascii="Times New Roman" w:hAnsi="Times New Roman" w:eastAsia="Times New Roman" w:cs="Times New Roman"/>
      <w:color w:val="000000"/>
      <w:sz w:val="28"/>
      <w:szCs w:val="28"/>
      <w:shd w:fill="FFFFFF" w:val="clear"/>
      <w:lang w:val="uk-UA"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e456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0a04c6"/>
    <w:rPr/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7f51a9"/>
    <w:rPr>
      <w:sz w:val="20"/>
      <w:szCs w:val="20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f51a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3caa"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674d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800f5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00f54"/>
    <w:rPr>
      <w:sz w:val="16"/>
      <w:szCs w:val="16"/>
    </w:rPr>
  </w:style>
  <w:style w:type="character" w:styleId="fontstyle01" w:customStyle="1">
    <w:name w:val="fontstyle01"/>
    <w:qFormat/>
    <w:rsid w:val="00800f54"/>
    <w:rPr>
      <w:rFonts w:ascii="Calibri-Bold" w:hAnsi="Calibri-Bold" w:cs="Times New Roman"/>
      <w:b/>
      <w:bCs/>
      <w:color w:val="233E98"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Основной шрифт абзаца"/>
    <w:qFormat/>
    <w:rPr/>
  </w:style>
  <w:style w:type="character" w:styleId="shorttext">
    <w:name w:val="short_text"/>
    <w:basedOn w:val="Style16"/>
    <w:qFormat/>
    <w:rPr/>
  </w:style>
  <w:style w:type="character" w:styleId="11">
    <w:name w:val="Шрифт абзацу за замовчуванням1"/>
    <w:qFormat/>
    <w:rPr/>
  </w:style>
  <w:style w:type="character" w:styleId="WW8Num2z0">
    <w:name w:val="WW8Num2z0"/>
    <w:qFormat/>
    <w:rPr>
      <w:b/>
      <w:sz w:val="24"/>
      <w:szCs w:val="24"/>
      <w:lang w:val="uk-UA"/>
    </w:rPr>
  </w:style>
  <w:style w:type="character" w:styleId="jlqj4b">
    <w:name w:val="jlqj4b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7z0">
    <w:name w:val="WW8Num7z0"/>
    <w:qFormat/>
    <w:rPr/>
  </w:style>
  <w:style w:type="character" w:styleId="WW8Num5z0">
    <w:name w:val="WW8Num5z0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e4564a"/>
    <w:pPr>
      <w:widowControl w:val="false"/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uk-UA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3"/>
    <w:uiPriority w:val="1"/>
    <w:qFormat/>
    <w:rsid w:val="005a6ce0"/>
    <w:pPr>
      <w:spacing w:lineRule="auto" w:line="276" w:before="0" w:after="200"/>
      <w:ind w:left="720"/>
      <w:contextualSpacing/>
    </w:pPr>
    <w:rPr/>
  </w:style>
  <w:style w:type="paragraph" w:styleId="Style19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link w:val="Style12"/>
    <w:rsid w:val="00a948c8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qFormat/>
    <w:rsid w:val="00e4564a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 w:customStyle="1">
    <w:name w:val="Обычный1"/>
    <w:qFormat/>
    <w:rsid w:val="00e4564a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7f51a9"/>
    <w:pPr>
      <w:spacing w:lineRule="auto" w:line="240" w:before="0" w:after="200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674d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00f54"/>
    <w:pPr>
      <w:spacing w:before="0" w:after="120"/>
    </w:pPr>
    <w:rPr>
      <w:sz w:val="16"/>
      <w:szCs w:val="16"/>
    </w:rPr>
  </w:style>
  <w:style w:type="paragraph" w:styleId="Style20">
    <w:name w:val="Вміст рамки"/>
    <w:basedOn w:val="Normal"/>
    <w:qFormat/>
    <w:pPr/>
    <w:rPr/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3">
    <w:name w:val="Цитата1"/>
    <w:basedOn w:val="Normal"/>
    <w:qFormat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Web">
    <w:name w:val="Обычный (Web) Знак Знак Знак"/>
    <w:basedOn w:val="Normal"/>
    <w:next w:val="NormalWeb"/>
    <w:qFormat/>
    <w:pPr>
      <w:spacing w:lineRule="auto" w:line="240" w:beforeAutospacing="1" w:afterAutospacing="1"/>
    </w:pPr>
    <w:rPr>
      <w:rFonts w:ascii="Liberation Serif" w:hAnsi="Liberation Serif" w:eastAsia="Times New Roman"/>
      <w:color w:val="00000A"/>
      <w:sz w:val="24"/>
      <w:szCs w:val="20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cee1fbf7edfbe9">
    <w:name w:val="Оceбe1ыfbчf7нedыfbйe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uk-UA" w:eastAsia="ru-RU" w:bidi="hi-IN"/>
    </w:rPr>
  </w:style>
  <w:style w:type="paragraph" w:styleId="Style22">
    <w:name w:val="для инструкции"/>
    <w:basedOn w:val="Header"/>
    <w:qFormat/>
    <w:pPr>
      <w:widowControl w:val="false"/>
      <w:snapToGrid w:val="false"/>
      <w:jc w:val="both"/>
    </w:pPr>
    <w:rPr>
      <w:rFonts w:ascii="Times New Roman" w:hAnsi="Times New Roman" w:eastAsia="Arial" w:cs="Times New Roman"/>
      <w:kern w:val="2"/>
      <w:lang w:val="uk-UA" w:eastAsia="ko-KR"/>
    </w:rPr>
  </w:style>
  <w:style w:type="paragraph" w:styleId="Style23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uk-UA" w:bidi="ar-SA"/>
    </w:rPr>
  </w:style>
  <w:style w:type="paragraph" w:styleId="FR2">
    <w:name w:val="FR2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0"/>
      <w:lang w:val="ru-RU" w:eastAsia="zh-CN" w:bidi="ar-SA"/>
    </w:rPr>
  </w:style>
  <w:style w:type="paragraph" w:styleId="Style24">
    <w:name w:val="Готовый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napToGrid w:val="false"/>
    </w:pPr>
    <w:rPr>
      <w:rFonts w:ascii="Courier New" w:hAnsi="Courier New" w:cs="Courier New"/>
      <w:lang w:val="uk-U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user3" w:default="1">
    <w:name w:val="Без маркерів (user)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LibreOffice/25.2.7.2$Windows_X86_64 LibreOffice_project/5cbfd1ab6520636bb5f7b99185aa69bd7456825d</Application>
  <AppVersion>15.0000</AppVersion>
  <Pages>7</Pages>
  <Words>1412</Words>
  <Characters>9285</Characters>
  <CharactersWithSpaces>10649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2025-01-07T08:33:00Z</dcterms:created>
  <dc:creator>user</dc:creator>
  <dc:description/>
  <dc:language>uk-UA</dc:language>
  <cp:lastModifiedBy/>
  <dcterms:modified xsi:type="dcterms:W3CDTF">2025-12-09T15:59:48Z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