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 w:eastAsia="Times New Roman"/>
        </w:rPr>
      </w:pPr>
      <w:bookmarkStart w:id="0" w:name="_GoBack"/>
      <w:bookmarkEnd w:id="0"/>
      <w:r>
        <w:rPr>
          <w:rFonts w:eastAsia="Times New Roman"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закупівлі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hyperlink r:id="rId2">
        <w:r>
          <w:rPr>
            <w:rStyle w:val="Hyperlink"/>
            <w:rFonts w:ascii="Times New Roman" w:hAnsi="Times New Roman"/>
            <w:b/>
            <w:bCs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single"/>
            <w:shd w:fill="FFFFFF" w:val="clear"/>
          </w:rPr>
          <w:t>Постачання теплової енергії</w:t>
        </w:r>
      </w:hyperlink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kern w:val="2"/>
          <w:sz w:val="24"/>
          <w:szCs w:val="24"/>
          <w:lang w:val="uk-UA" w:eastAsia="zh-CN" w:bidi="hi-IN"/>
        </w:rPr>
        <w:t>ДК 021:2015: 09320000-8 — Пара, гаряча вода та пов’язана продукція</w:t>
      </w:r>
      <w:r>
        <w:rPr>
          <w:rStyle w:val="Strong"/>
          <w:rFonts w:eastAsia="Times New Roma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val="uk-UA" w:eastAsia="zh-CN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i/>
          <w:iCs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auto"/>
          <w:sz w:val="26"/>
          <w:szCs w:val="26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     </w:t>
      </w:r>
      <w:hyperlink r:id="rId3">
        <w:r>
          <w:rPr>
            <w:rStyle w:val="Hyperlink"/>
            <w:rFonts w:eastAsia="Times New Roman" w:ascii="Times New Roman" w:hAnsi="Times New Roman"/>
            <w:b/>
            <w:bCs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single"/>
            <w:shd w:fill="FFFFFF" w:val="clear"/>
            <w:lang w:val="uk-UA" w:eastAsia="uk-UA"/>
          </w:rPr>
          <w:t>Постачання теплової енергії</w:t>
        </w:r>
      </w:hyperlink>
      <w:r>
        <w:rPr>
          <w:rFonts w:eastAsia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kern w:val="2"/>
          <w:sz w:val="24"/>
          <w:szCs w:val="24"/>
          <w:lang w:val="uk-UA" w:eastAsia="zh-CN" w:bidi="hi-IN"/>
        </w:rPr>
        <w:t>ДК 021:2015: 09320000-8 — Пара, гаряча вода та пов’язана продукція</w:t>
      </w:r>
      <w:r>
        <w:rPr>
          <w:rStyle w:val="Strong"/>
          <w:rFonts w:eastAsia="Times New Roma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val="uk-UA" w:eastAsia="zh-CN" w:bidi="hi-IN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 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rFonts w:ascii="Times New Roman" w:hAnsi="Times New Roman" w:eastAsia="Times New Roman"/>
          <w:b/>
          <w:bCs/>
          <w:color w:val="000000"/>
          <w:sz w:val="26"/>
          <w:szCs w:val="26"/>
          <w:u w:val="none"/>
          <w:shd w:fill="F0F5F2" w:val="clear"/>
          <w:lang w:eastAsia="uk-UA"/>
        </w:rPr>
      </w:pPr>
      <w:r>
        <w:rPr>
          <w:rFonts w:eastAsia="Times New Roman" w:ascii="Times New Roman" w:hAnsi="Times New Roman"/>
          <w:b/>
          <w:bCs/>
          <w:caps w:val="false"/>
          <w:smallCaps w:val="false"/>
          <w:color w:val="242638"/>
          <w:spacing w:val="0"/>
          <w:sz w:val="26"/>
          <w:szCs w:val="26"/>
          <w:u w:val="none"/>
          <w:shd w:fill="F0F5F2" w:val="clear"/>
          <w:lang w:eastAsia="uk-UA"/>
        </w:rPr>
        <w:t> </w:t>
      </w:r>
      <w:r>
        <w:rPr>
          <w:rFonts w:eastAsia="Times New Roman" w:ascii="Open Sans;Arial;sans-serif" w:hAnsi="Open Sans;Arial;sans-serif"/>
          <w:b w:val="false"/>
          <w:bCs/>
          <w:i w:val="false"/>
          <w:caps w:val="false"/>
          <w:smallCaps w:val="false"/>
          <w:color w:val="242638"/>
          <w:spacing w:val="0"/>
          <w:sz w:val="24"/>
          <w:szCs w:val="26"/>
          <w:u w:val="none"/>
          <w:shd w:fill="F0F5F2" w:val="clear"/>
          <w:lang w:eastAsia="uk-UA"/>
        </w:rPr>
        <w:t>UA-2025-12-11-014356-a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u w:val="non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3 139 070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bCs/>
          <w:i/>
          <w:iCs/>
          <w:color w:val="000000"/>
          <w:sz w:val="24"/>
          <w:szCs w:val="24"/>
          <w:u w:val="none"/>
          <w:lang w:eastAsia="uk-UA"/>
        </w:rPr>
        <w:t>  грн з ПДВ</w:t>
      </w:r>
    </w:p>
    <w:p>
      <w:pPr>
        <w:pStyle w:val="13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 w:eastAsia="Times New Roman"/>
        </w:rPr>
      </w:pPr>
      <w:r>
        <w:rPr>
          <w:rFonts w:eastAsia="Times New Roman"/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Розмір бюджетного призначення:</w:t>
      </w:r>
      <w:r>
        <w:rPr>
          <w:rFonts w:eastAsia="Times New Roman" w:ascii="Times New Roman" w:hAnsi="Times New Roman"/>
          <w:color w:val="000000"/>
          <w:sz w:val="24"/>
          <w:szCs w:val="24"/>
          <w:u w:val="none"/>
          <w:lang w:eastAsia="uk-UA"/>
        </w:rPr>
        <w:t> 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 xml:space="preserve">Джерело фінансування: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638"/>
          <w:spacing w:val="0"/>
          <w:sz w:val="24"/>
          <w:szCs w:val="24"/>
        </w:rPr>
        <w:t>Місцевий бюджет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>2862100,00 грн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 xml:space="preserve">власний бюджет (кошти від господарської діяльності підприємства)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42638"/>
          <w:spacing w:val="0"/>
          <w:sz w:val="24"/>
          <w:szCs w:val="24"/>
        </w:rPr>
        <w:t>276 970,00 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</w:p>
    <w:p>
      <w:pPr>
        <w:pStyle w:val="13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 w:eastAsia="Times New Roman"/>
        </w:rPr>
      </w:pPr>
      <w:r>
        <w:rPr>
          <w:rFonts w:eastAsia="Times New Roman"/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rFonts w:eastAsia="Times New Roman"/>
          <w:bCs/>
          <w:color w:val="000000"/>
          <w:szCs w:val="24"/>
          <w:lang w:eastAsia="uk-UA"/>
        </w:rPr>
        <w:t xml:space="preserve">Строк </w:t>
      </w:r>
      <w:r>
        <w:rPr>
          <w:rFonts w:eastAsia="Times New Roman"/>
          <w:bCs/>
          <w:color w:val="000000"/>
          <w:szCs w:val="24"/>
          <w:lang w:val="uk-UA" w:eastAsia="uk-UA"/>
        </w:rPr>
        <w:t>поставки товару</w:t>
      </w:r>
      <w:r>
        <w:rPr>
          <w:rFonts w:eastAsia="Times New Roman"/>
          <w:bCs/>
          <w:color w:val="000000"/>
          <w:szCs w:val="24"/>
          <w:lang w:eastAsia="uk-UA"/>
        </w:rPr>
        <w:t>:</w:t>
      </w:r>
      <w:r>
        <w:rPr>
          <w:rFonts w:eastAsia="Times New Roman"/>
          <w:i/>
          <w:iCs/>
          <w:color w:val="000000"/>
          <w:szCs w:val="24"/>
          <w:lang w:eastAsia="uk-UA"/>
        </w:rPr>
        <w:t xml:space="preserve"> </w:t>
      </w:r>
      <w:r>
        <w:rPr>
          <w:rFonts w:eastAsia="Times New Roman"/>
          <w:color w:val="000000"/>
          <w:szCs w:val="24"/>
          <w:lang w:eastAsia="uk-UA"/>
        </w:rPr>
        <w:t> </w:t>
      </w:r>
      <w:r>
        <w:rPr>
          <w:rFonts w:eastAsia="Times New Roman"/>
          <w:b/>
          <w:bCs/>
          <w:color w:val="000000"/>
          <w:szCs w:val="24"/>
          <w:lang w:eastAsia="uk-UA"/>
        </w:rPr>
        <w:t xml:space="preserve">до </w:t>
      </w:r>
      <w:r>
        <w:rPr>
          <w:rFonts w:eastAsia="Times New Roman"/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rFonts w:eastAsia="Times New Roman"/>
          <w:b/>
          <w:bCs/>
          <w:color w:val="000000"/>
          <w:szCs w:val="24"/>
          <w:lang w:eastAsia="uk-UA"/>
        </w:rPr>
        <w:t>202</w:t>
      </w:r>
      <w:r>
        <w:rPr>
          <w:rFonts w:eastAsia="Times New Roman"/>
          <w:b/>
          <w:bCs/>
          <w:color w:val="000000"/>
          <w:szCs w:val="24"/>
          <w:lang w:val="uk-UA" w:eastAsia="uk-UA"/>
        </w:rPr>
        <w:t>6</w:t>
      </w:r>
      <w:r>
        <w:rPr>
          <w:rFonts w:eastAsia="Times New Roman"/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Normal"/>
        <w:tabs>
          <w:tab w:val="clear" w:pos="708"/>
          <w:tab w:val="left" w:pos="2835" w:leader="none"/>
        </w:tabs>
        <w:spacing w:lineRule="auto" w:line="276"/>
        <w:ind w:left="2832" w:right="283"/>
        <w:jc w:val="right"/>
        <w:rPr>
          <w:rFonts w:ascii="Times New Roman" w:hAnsi="Times New Roman" w:eastAsia="Times New Roman"/>
          <w:color w:val="000000"/>
        </w:rPr>
      </w:pPr>
      <w:r>
        <w:rPr>
          <w:rFonts w:eastAsia="Times New Roman" w:ascii="Times New Roman" w:hAnsi="Times New Roman"/>
          <w:color w:val="000000"/>
        </w:rPr>
      </w:r>
      <w:bookmarkStart w:id="1" w:name="_Toc382896085"/>
      <w:bookmarkStart w:id="2" w:name="_Toc382897124"/>
      <w:bookmarkStart w:id="3" w:name="_Toc382896085"/>
      <w:bookmarkStart w:id="4" w:name="_Toc382897124"/>
      <w:bookmarkEnd w:id="3"/>
      <w:bookmarkEnd w:id="4"/>
    </w:p>
    <w:p>
      <w:pPr>
        <w:pStyle w:val="Normal"/>
        <w:suppressAutoHyphens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lang w:val="uk-UA" w:eastAsia="zh-CN" w:bidi="hi-IN"/>
        </w:rPr>
        <w:t>Інформація про необхідні технічні, якісні та кількісні характеристики предмета закупівлі, в тому числі документи, які повинен надати учасник для підтвердження відповідності зазначеним характеристик</w:t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lang w:val="uk-UA" w:eastAsia="uk-UA"/>
        </w:rPr>
        <w:t xml:space="preserve">  </w:t>
      </w:r>
      <w:r>
        <w:rPr>
          <w:rStyle w:val="Strong"/>
          <w:rFonts w:eastAsia="Times New Roman" w:ascii="Times New Roman" w:hAnsi="Times New Roman"/>
          <w:b w:val="false"/>
          <w:bCs w:val="false"/>
          <w:color w:val="000000"/>
          <w:lang w:val="uk-UA" w:eastAsia="uk-UA"/>
        </w:rPr>
        <w:t>Н</w:t>
      </w:r>
      <w:r>
        <w:rPr>
          <w:rFonts w:eastAsia="Times New Roman" w:ascii="Times New Roman" w:hAnsi="Times New Roman"/>
          <w:color w:val="000000"/>
          <w:lang w:val="uk-UA" w:eastAsia="uk-UA"/>
        </w:rPr>
        <w:t>азва предмета закупівлі:</w:t>
      </w:r>
      <w:r>
        <w:rPr>
          <w:rFonts w:eastAsia="Times New Roman" w:ascii="Times New Roman" w:hAnsi="Times New Roman"/>
          <w:b/>
          <w:color w:val="000000"/>
          <w:lang w:val="uk-UA" w:eastAsia="uk-UA"/>
        </w:rPr>
        <w:t xml:space="preserve"> </w:t>
      </w:r>
      <w:r>
        <w:rPr>
          <w:rStyle w:val="Strong"/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hyperlink r:id="rId4">
        <w:r>
          <w:rPr>
            <w:rStyle w:val="Hyperlink"/>
            <w:rFonts w:eastAsia="Times New Roman" w:ascii="Times New Roman" w:hAnsi="Times New Roman"/>
            <w:b/>
            <w:bCs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single"/>
            <w:shd w:fill="FFFFFF" w:val="clear"/>
            <w:lang w:val="uk-UA" w:eastAsia="uk-UA"/>
          </w:rPr>
          <w:t>Постачання теплової енергії</w:t>
        </w:r>
      </w:hyperlink>
      <w:r>
        <w:rPr>
          <w:rStyle w:val="Strong"/>
          <w:rFonts w:eastAsia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kern w:val="2"/>
          <w:sz w:val="24"/>
          <w:szCs w:val="24"/>
          <w:lang w:val="uk-UA" w:eastAsia="zh-CN" w:bidi="hi-IN"/>
        </w:rPr>
        <w:t>ДК 021:2015: 09320000-8 — Пара, гаряча вода та пов’язана продукція</w:t>
      </w:r>
      <w:r>
        <w:rPr>
          <w:rStyle w:val="Strong"/>
          <w:rFonts w:eastAsia="Times New Roma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val="uk-UA" w:eastAsia="zh-CN" w:bidi="hi-IN"/>
        </w:rPr>
        <w:t xml:space="preserve"> </w:t>
      </w:r>
    </w:p>
    <w:p>
      <w:pPr>
        <w:pStyle w:val="13"/>
        <w:tabs>
          <w:tab w:val="clear" w:pos="708"/>
          <w:tab w:val="left" w:pos="0" w:leader="none"/>
        </w:tabs>
        <w:ind w:hanging="0" w:left="0" w:right="0"/>
        <w:jc w:val="center"/>
        <w:rPr>
          <w:bCs/>
          <w:szCs w:val="24"/>
          <w:lang w:val="uk-UA"/>
        </w:rPr>
      </w:pPr>
      <w:r>
        <w:rPr>
          <w:bCs/>
          <w:szCs w:val="24"/>
          <w:lang w:val="uk-UA"/>
        </w:rPr>
      </w:r>
    </w:p>
    <w:p>
      <w:pPr>
        <w:pStyle w:val="14"/>
        <w:ind w:firstLine="567" w:right="0"/>
        <w:jc w:val="right"/>
        <w:rPr>
          <w:rFonts w:ascii="Times New Roman" w:hAnsi="Times New Roman" w:cs="Times New Roman"/>
          <w:b w:val="false"/>
          <w:i/>
          <w:i/>
          <w:sz w:val="24"/>
          <w:szCs w:val="24"/>
        </w:rPr>
      </w:pPr>
      <w:r>
        <w:rPr>
          <w:rFonts w:cs="Times New Roman"/>
          <w:b w:val="false"/>
          <w:i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autoSpaceDE w:val="false"/>
        <w:jc w:val="center"/>
        <w:rPr>
          <w:rFonts w:ascii="Times New Roman" w:hAnsi="Times New Roman" w:cs="Times New Roman"/>
          <w:b/>
          <w:sz w:val="24"/>
          <w:szCs w:val="24"/>
          <w:shd w:fill="FFFFFA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A" w:val="clear"/>
        </w:rPr>
        <w:t>Інформація про технічні, якісні та кількісні характеристики предмета закупівлі</w:t>
      </w:r>
    </w:p>
    <w:p>
      <w:pPr>
        <w:pStyle w:val="Normal"/>
        <w:widowControl w:val="false"/>
        <w:tabs>
          <w:tab w:val="clear" w:pos="708"/>
          <w:tab w:val="left" w:pos="0" w:leader="none"/>
        </w:tabs>
        <w:autoSpaceDE w:val="false"/>
        <w:jc w:val="center"/>
        <w:rPr>
          <w:rFonts w:ascii="Times New Roman" w:hAnsi="Times New Roman" w:cs="Times New Roman"/>
          <w:b/>
          <w:sz w:val="24"/>
          <w:szCs w:val="24"/>
          <w:shd w:fill="FFFFFA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A" w:val="clear"/>
        </w:rPr>
      </w:r>
    </w:p>
    <w:p>
      <w:pPr>
        <w:pStyle w:val="Normal"/>
        <w:widowControl w:val="false"/>
        <w:autoSpaceDE w:val="false"/>
        <w:ind w:firstLine="709" w:right="0"/>
        <w:jc w:val="center"/>
        <w:rPr>
          <w:rFonts w:ascii="Times New Roman" w:hAnsi="Times New Roman" w:cs="Times New Roman"/>
          <w:b/>
          <w:sz w:val="24"/>
          <w:szCs w:val="24"/>
          <w:shd w:fill="FFFFFA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A" w:val="clear"/>
        </w:rPr>
        <w:t>ТЕХНІЧНА СПЕЦИФІКАЦІЯ ДО ПРЕДМЕТА ЗАКУПІВЛІ:</w:t>
      </w:r>
    </w:p>
    <w:p>
      <w:pPr>
        <w:pStyle w:val="Normal"/>
        <w:widowControl w:val="false"/>
        <w:autoSpaceDE w:val="false"/>
        <w:ind w:firstLine="709" w:right="0"/>
        <w:jc w:val="center"/>
        <w:rPr>
          <w:rFonts w:ascii="Times New Roman" w:hAnsi="Times New Roman" w:cs="Times New Roman"/>
          <w:b/>
          <w:sz w:val="24"/>
          <w:szCs w:val="24"/>
          <w:shd w:fill="FFFFFA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A" w:val="clear"/>
        </w:rPr>
      </w:r>
    </w:p>
    <w:tbl>
      <w:tblPr>
        <w:tblW w:w="1011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251"/>
        <w:gridCol w:w="6865"/>
      </w:tblGrid>
      <w:tr>
        <w:trPr>
          <w:trHeight w:val="159" w:hRule="atLeast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keepLines/>
              <w:autoSpaceDE w:val="false"/>
              <w:spacing w:before="0" w:after="16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uk" w:eastAsia="zh-CN" w:bidi="ar"/>
              </w:rPr>
              <w:t>Код ДК 021:2015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" w:eastAsia="zh-CN" w:bidi="ar"/>
              </w:rPr>
              <w:t>09320000-8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" w:eastAsia="zh-CN" w:bidi="ar"/>
              </w:rPr>
              <w:t>Пара, гаряча вода та пов’язана продукція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zh-CN" w:bidi="ar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zh-CN" w:bidi="ar"/>
              </w:rPr>
              <w:t>постачання теплової енергії)</w:t>
            </w:r>
          </w:p>
        </w:tc>
      </w:tr>
      <w:tr>
        <w:trPr/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Строк поставки</w:t>
            </w:r>
          </w:p>
        </w:tc>
        <w:tc>
          <w:tcPr>
            <w:tcW w:w="6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З 01.01.2026 до 31.12.2026 року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 згідно з умовами договору про закупівлю (додаток 3 до тендерної документації)</w:t>
            </w:r>
          </w:p>
        </w:tc>
      </w:tr>
    </w:tbl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1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696"/>
        <w:gridCol w:w="1779"/>
      </w:tblGrid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Місце поставки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1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Кількість (Гкал)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34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61068, Україна, Харківська область, Харків, проспект Героїв Харкова, будинок 179;</w:t>
            </w:r>
          </w:p>
          <w:p>
            <w:pPr>
              <w:pStyle w:val="Normal"/>
              <w:widowControl w:val="false"/>
              <w:spacing w:before="0" w:after="160"/>
              <w:ind w:right="34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61037, Україна, Харківська область, м. Харків, вул. Камишева Івана, буд.35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64" w:before="0" w:after="1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ar-SA"/>
              </w:rPr>
              <w:t>785</w:t>
            </w:r>
          </w:p>
        </w:tc>
      </w:tr>
    </w:tbl>
    <w:p>
      <w:pPr>
        <w:pStyle w:val="Normal"/>
        <w:spacing w:lineRule="auto" w:line="26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2"/>
        <w:spacing w:before="0" w:after="0"/>
        <w:ind w:firstLine="720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spacing w:lineRule="auto" w:line="264" w:before="0" w:after="0"/>
        <w:ind w:firstLine="72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1. Загальні вимоги</w:t>
      </w:r>
    </w:p>
    <w:p>
      <w:pPr>
        <w:pStyle w:val="Style22"/>
        <w:ind w:firstLine="720" w:right="0"/>
        <w:jc w:val="both"/>
        <w:rPr/>
      </w:pPr>
      <w:r>
        <w:rPr>
          <w:sz w:val="24"/>
          <w:szCs w:val="24"/>
        </w:rPr>
        <w:t>Постачання теплової енергії здійснюється відповідно до умов договору про закупівлю (Додаток 3 до тендерної документації) та повинно забезпечувати</w:t>
      </w:r>
      <w:r>
        <w:rPr>
          <w:rStyle w:val="Strong"/>
          <w:sz w:val="24"/>
          <w:szCs w:val="24"/>
        </w:rPr>
        <w:t xml:space="preserve"> безперебійне і якісне теплопостачання</w:t>
      </w:r>
      <w:r>
        <w:rPr>
          <w:sz w:val="24"/>
          <w:szCs w:val="24"/>
        </w:rPr>
        <w:t xml:space="preserve"> споживача.</w:t>
      </w:r>
    </w:p>
    <w:p>
      <w:pPr>
        <w:pStyle w:val="Style22"/>
        <w:ind w:firstLine="720" w:right="0"/>
        <w:jc w:val="both"/>
        <w:rPr/>
      </w:pPr>
      <w:r>
        <w:rPr>
          <w:sz w:val="24"/>
          <w:szCs w:val="24"/>
        </w:rPr>
        <w:t xml:space="preserve">Теплопостачальна організація повинна поставляти споживачу теплову енергію, </w:t>
      </w:r>
      <w:r>
        <w:rPr>
          <w:rStyle w:val="Strong"/>
          <w:sz w:val="24"/>
          <w:szCs w:val="24"/>
        </w:rPr>
        <w:t>якість якої відповідає температурному графіку центрального якісного регулювання відпуску теплової енергії</w:t>
      </w:r>
      <w:r>
        <w:rPr>
          <w:sz w:val="24"/>
          <w:szCs w:val="24"/>
        </w:rPr>
        <w:t>.</w:t>
      </w:r>
    </w:p>
    <w:p>
      <w:pPr>
        <w:pStyle w:val="Style22"/>
        <w:ind w:firstLine="720" w:right="0"/>
        <w:jc w:val="both"/>
        <w:rPr/>
      </w:pPr>
      <w:r>
        <w:rPr>
          <w:sz w:val="24"/>
          <w:szCs w:val="24"/>
        </w:rPr>
        <w:t xml:space="preserve">Температура повітря у приміщеннях має відповідати </w:t>
      </w:r>
      <w:r>
        <w:rPr>
          <w:rStyle w:val="Strong"/>
          <w:sz w:val="24"/>
          <w:szCs w:val="24"/>
        </w:rPr>
        <w:t>нормативній температурі повітря</w:t>
      </w:r>
      <w:r>
        <w:rPr>
          <w:sz w:val="24"/>
          <w:szCs w:val="24"/>
        </w:rPr>
        <w:t xml:space="preserve"> в опалювальних приміщеннях будівель, відповідно до </w:t>
      </w:r>
      <w:r>
        <w:rPr>
          <w:rStyle w:val="Strong"/>
          <w:sz w:val="24"/>
          <w:szCs w:val="24"/>
        </w:rPr>
        <w:t>КТМ 204 України 244-94</w:t>
      </w:r>
      <w:r>
        <w:rPr>
          <w:sz w:val="24"/>
          <w:szCs w:val="24"/>
        </w:rPr>
        <w:t>.</w:t>
      </w:r>
    </w:p>
    <w:p>
      <w:pPr>
        <w:pStyle w:val="Style22"/>
        <w:ind w:firstLine="720" w:right="0"/>
        <w:jc w:val="both"/>
        <w:rPr/>
      </w:pPr>
      <w:r>
        <w:rPr>
          <w:b/>
          <w:bCs/>
          <w:color w:val="000000"/>
          <w:sz w:val="24"/>
          <w:szCs w:val="24"/>
        </w:rPr>
        <w:t>2. Вимоги до технічних та якісних характеристик:</w:t>
      </w:r>
      <w:r>
        <w:rPr>
          <w:color w:val="000000"/>
          <w:sz w:val="24"/>
          <w:szCs w:val="24"/>
        </w:rPr>
        <w:br/>
        <w:tab/>
        <w:t>Постачання теплової енергії, а також її технічні та якісні характеристики повинні відповідати вимогам чинного законодавства України, зокрема:</w:t>
      </w:r>
    </w:p>
    <w:p>
      <w:pPr>
        <w:pStyle w:val="Style22"/>
        <w:ind w:firstLine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Закону України «Про теплопостачання»;</w:t>
      </w:r>
    </w:p>
    <w:p>
      <w:pPr>
        <w:pStyle w:val="Style22"/>
        <w:ind w:firstLine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Закону України «Про Національну комісію, що здійснює державне регулювання у сферах енергетики та комунальних послуг»;</w:t>
      </w:r>
    </w:p>
    <w:p>
      <w:pPr>
        <w:pStyle w:val="Style22"/>
        <w:ind w:firstLine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Ліцензійним умовам провадження господарської діяльності з постачання теплової енергії, затвердженим постановою НКРЕКП;</w:t>
      </w:r>
    </w:p>
    <w:p>
      <w:pPr>
        <w:pStyle w:val="Style22"/>
        <w:ind w:firstLine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Нормативам і стандартам якості теплової енергії, затвердженим центральним органом виконавчої влади у сфері житлово-комунального господарства (зокрема вимогам ДСТУ, санітарних норм і правил).</w:t>
      </w:r>
    </w:p>
    <w:p>
      <w:pPr>
        <w:pStyle w:val="Style22"/>
        <w:ind w:firstLine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Теплова енергія повинна надаватися учасником відповідно до:</w:t>
      </w:r>
    </w:p>
    <w:p>
      <w:pPr>
        <w:pStyle w:val="Style22"/>
        <w:ind w:firstLine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Закону України «Про теплопостачання» від 02.06.2005 № 2633-IV (із змінами);</w:t>
      </w:r>
    </w:p>
    <w:p>
      <w:pPr>
        <w:pStyle w:val="Style22"/>
        <w:ind w:firstLine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інших нормативно-правових актів, що регулюють діяльність у сфері теплопостачання.</w:t>
      </w:r>
    </w:p>
    <w:p>
      <w:pPr>
        <w:pStyle w:val="Style22"/>
        <w:ind w:firstLine="720" w:right="0"/>
        <w:jc w:val="both"/>
        <w:rPr/>
      </w:pPr>
      <w:r>
        <w:rPr>
          <w:b/>
          <w:bCs/>
          <w:color w:val="000000"/>
          <w:sz w:val="24"/>
          <w:szCs w:val="24"/>
        </w:rPr>
        <w:t>3. Вимоги до параметрів теплоносія:</w:t>
      </w:r>
      <w:r>
        <w:rPr>
          <w:color w:val="000000"/>
          <w:sz w:val="24"/>
          <w:szCs w:val="24"/>
        </w:rPr>
        <w:br/>
        <w:tab/>
        <w:t>Постачальник зобов’язаний забезпечити подачу теплоносія встановлених параметрів температури та тиску відповідно до графіків теплопостачання, затверджених органом місцевого самоврядування або оператором системи теплопостачання.</w:t>
      </w:r>
    </w:p>
    <w:p>
      <w:pPr>
        <w:pStyle w:val="Style22"/>
        <w:ind w:firstLine="720" w:right="0"/>
        <w:jc w:val="both"/>
        <w:rPr/>
      </w:pPr>
      <w:r>
        <w:rPr>
          <w:b/>
          <w:bCs/>
          <w:color w:val="000000"/>
          <w:sz w:val="24"/>
          <w:szCs w:val="24"/>
        </w:rPr>
        <w:t>4. Дотримання режиму постачання:</w:t>
      </w:r>
      <w:r>
        <w:rPr>
          <w:color w:val="000000"/>
          <w:sz w:val="24"/>
          <w:szCs w:val="24"/>
        </w:rPr>
        <w:br/>
        <w:tab/>
        <w:t>Постачання теплової енергії повинно здійснюватися у межах опалювального періоду, визначеного відповідним рішенням органу місцевого самоврядування, із дотриманням встановленого режиму роботи системи теплопостачання.</w:t>
      </w:r>
    </w:p>
    <w:p>
      <w:pPr>
        <w:pStyle w:val="Style22"/>
        <w:ind w:firstLine="720" w:right="0"/>
        <w:rPr/>
      </w:pPr>
      <w:r>
        <w:rPr>
          <w:b/>
          <w:bCs/>
          <w:color w:val="000000"/>
          <w:sz w:val="24"/>
          <w:szCs w:val="24"/>
        </w:rPr>
        <w:t>5. Відповідальність постачальника:</w:t>
      </w:r>
      <w:r>
        <w:rPr>
          <w:color w:val="000000"/>
          <w:sz w:val="24"/>
          <w:szCs w:val="24"/>
        </w:rPr>
        <w:br/>
        <w:tab/>
        <w:t>Постачальник несе відповідальність за якість, безперебійність і відповідність постачання теплової енергії нормативним параметрам, установленим чинним законодавством.</w:t>
      </w:r>
    </w:p>
    <w:p>
      <w:pPr>
        <w:pStyle w:val="BodyText"/>
        <w:spacing w:before="0" w:after="0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Облік спожитої теплової енергії здійснюється згідно з показниками приладів комерційного обліку, що відповідають вимогам Закону України “Про комерційний облік теплової енергії та водопостачання”.</w:t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BodyText"/>
        <w:spacing w:before="0" w:after="0"/>
        <w:ind w:firstLine="720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BodyText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cs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autoSpaceDE w:val="false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Calibri-Bold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Open Sans">
    <w:altName w:val="Arial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5c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00f5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7">
    <w:name w:val="heading 7"/>
    <w:basedOn w:val="Normal"/>
    <w:link w:val="7"/>
    <w:qFormat/>
    <w:rsid w:val="0052350c"/>
    <w:pPr>
      <w:keepNext w:val="true"/>
      <w:shd w:val="clear" w:color="auto" w:fill="FFFFFF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spacing w:val="-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qFormat/>
    <w:rsid w:val="0052350c"/>
    <w:rPr>
      <w:rFonts w:ascii="Times New Roman" w:hAnsi="Times New Roman" w:eastAsia="Times New Roman" w:cs="Times New Roman"/>
      <w:spacing w:val="-1"/>
      <w:sz w:val="28"/>
      <w:szCs w:val="28"/>
      <w:shd w:fill="FFFFFF" w:val="clear"/>
      <w:lang w:eastAsia="ru-RU"/>
    </w:rPr>
  </w:style>
  <w:style w:type="character" w:styleId="c22" w:customStyle="1">
    <w:name w:val="c22"/>
    <w:basedOn w:val="DefaultParagraphFont"/>
    <w:qFormat/>
    <w:rsid w:val="0052350c"/>
    <w:rPr/>
  </w:style>
  <w:style w:type="character" w:styleId="Style12" w:customStyle="1">
    <w:name w:val="Верхний колонтитул Знак"/>
    <w:basedOn w:val="DefaultParagraphFont"/>
    <w:qFormat/>
    <w:rsid w:val="00a948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f608ba"/>
    <w:rPr/>
  </w:style>
  <w:style w:type="character" w:styleId="FontStyle22" w:customStyle="1">
    <w:name w:val="Font Style22"/>
    <w:qFormat/>
    <w:rsid w:val="004f55ca"/>
    <w:rPr>
      <w:rFonts w:ascii="Arial" w:hAnsi="Arial" w:cs="Arial"/>
      <w:b/>
      <w:bCs/>
      <w:sz w:val="20"/>
      <w:szCs w:val="20"/>
    </w:rPr>
  </w:style>
  <w:style w:type="character" w:styleId="Style14" w:customStyle="1">
    <w:name w:val="Основной текст Знак"/>
    <w:basedOn w:val="DefaultParagraphFont"/>
    <w:uiPriority w:val="99"/>
    <w:qFormat/>
    <w:rsid w:val="00e4564a"/>
    <w:rPr>
      <w:rFonts w:ascii="Times New Roman" w:hAnsi="Times New Roman" w:eastAsia="Times New Roman" w:cs="Times New Roman"/>
      <w:color w:val="000000"/>
      <w:sz w:val="28"/>
      <w:szCs w:val="28"/>
      <w:shd w:fill="FFFFFF" w:val="clear"/>
      <w:lang w:val="uk-UA"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e456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y2iqfc" w:customStyle="1">
    <w:name w:val="y2iqfc"/>
    <w:basedOn w:val="DefaultParagraphFont"/>
    <w:qFormat/>
    <w:rsid w:val="000a04c6"/>
    <w:rPr/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7f51a9"/>
    <w:rPr>
      <w:sz w:val="20"/>
      <w:szCs w:val="20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f51a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3caa"/>
    <w:rPr>
      <w:i/>
      <w:iCs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674d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800f5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00f54"/>
    <w:rPr>
      <w:sz w:val="16"/>
      <w:szCs w:val="16"/>
    </w:rPr>
  </w:style>
  <w:style w:type="character" w:styleId="fontstyle01" w:customStyle="1">
    <w:name w:val="fontstyle01"/>
    <w:qFormat/>
    <w:rsid w:val="00800f54"/>
    <w:rPr>
      <w:rFonts w:ascii="Calibri-Bold" w:hAnsi="Calibri-Bold" w:cs="Times New Roman"/>
      <w:b/>
      <w:bCs/>
      <w:color w:val="233E98"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Основной шрифт абзаца"/>
    <w:qFormat/>
    <w:rPr/>
  </w:style>
  <w:style w:type="character" w:styleId="shorttext">
    <w:name w:val="short_text"/>
    <w:basedOn w:val="Style16"/>
    <w:qFormat/>
    <w:rPr/>
  </w:style>
  <w:style w:type="character" w:styleId="11">
    <w:name w:val="Шрифт абзацу за замовчуванням1"/>
    <w:qFormat/>
    <w:rPr/>
  </w:style>
  <w:style w:type="character" w:styleId="WW8Num2z0">
    <w:name w:val="WW8Num2z0"/>
    <w:qFormat/>
    <w:rPr>
      <w:b/>
      <w:sz w:val="24"/>
      <w:szCs w:val="24"/>
      <w:lang w:val="uk-UA"/>
    </w:rPr>
  </w:style>
  <w:style w:type="character" w:styleId="jlqj4b">
    <w:name w:val="jlqj4b"/>
    <w:qFormat/>
    <w:rPr/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e4564a"/>
    <w:pPr>
      <w:widowControl w:val="false"/>
      <w:shd w:val="clear" w:color="auto" w:fill="FFFFFF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uk-UA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3"/>
    <w:uiPriority w:val="1"/>
    <w:qFormat/>
    <w:rsid w:val="005a6ce0"/>
    <w:pPr>
      <w:spacing w:lineRule="auto" w:line="276" w:before="0" w:after="200"/>
      <w:ind w:left="720"/>
      <w:contextualSpacing/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1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2"/>
    <w:rsid w:val="00a948c8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qFormat/>
    <w:rsid w:val="00e4564a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 w:customStyle="1">
    <w:name w:val="Обычный1"/>
    <w:qFormat/>
    <w:rsid w:val="00e4564a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7f51a9"/>
    <w:pPr>
      <w:spacing w:lineRule="auto" w:line="240" w:before="0" w:after="200"/>
    </w:pPr>
    <w:rPr>
      <w:sz w:val="20"/>
      <w:szCs w:val="20"/>
      <w:lang w:val="uk-U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674d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00f54"/>
    <w:pPr>
      <w:spacing w:before="0" w:after="120"/>
    </w:pPr>
    <w:rPr>
      <w:sz w:val="16"/>
      <w:szCs w:val="16"/>
    </w:rPr>
  </w:style>
  <w:style w:type="paragraph" w:styleId="user3">
    <w:name w:val="Вміст рамки (user)"/>
    <w:basedOn w:val="Normal"/>
    <w:qFormat/>
    <w:pPr/>
    <w:rPr/>
  </w:style>
  <w:style w:type="paragraph" w:styleId="Title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3">
    <w:name w:val="Цитата1"/>
    <w:basedOn w:val="Normal"/>
    <w:qFormat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user4">
    <w:name w:val="Вміст таблиці (user)"/>
    <w:basedOn w:val="Normal"/>
    <w:qFormat/>
    <w:pPr>
      <w:widowControl w:val="false"/>
      <w:suppressLineNumbers/>
    </w:pPr>
    <w:rPr/>
  </w:style>
  <w:style w:type="paragraph" w:styleId="Web">
    <w:name w:val="Обычный (Web) Знак Знак Знак"/>
    <w:basedOn w:val="Normal"/>
    <w:next w:val="NormalWeb"/>
    <w:qFormat/>
    <w:pPr>
      <w:spacing w:lineRule="auto" w:line="240" w:beforeAutospacing="1" w:afterAutospacing="1"/>
    </w:pPr>
    <w:rPr>
      <w:rFonts w:ascii="Liberation Serif" w:hAnsi="Liberation Serif" w:eastAsia="Times New Roman"/>
      <w:color w:val="00000A"/>
      <w:sz w:val="24"/>
      <w:szCs w:val="20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cee1fbf7edfbe9">
    <w:name w:val="Оceбe1ыfbчf7нedыfbйe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uk-UA" w:eastAsia="ru-RU" w:bidi="hi-IN"/>
    </w:rPr>
  </w:style>
  <w:style w:type="paragraph" w:styleId="Style20">
    <w:name w:val="для инструкции"/>
    <w:basedOn w:val="Header"/>
    <w:qFormat/>
    <w:pPr>
      <w:widowControl w:val="false"/>
      <w:snapToGrid w:val="false"/>
      <w:jc w:val="both"/>
    </w:pPr>
    <w:rPr>
      <w:rFonts w:ascii="Times New Roman" w:hAnsi="Times New Roman" w:eastAsia="Arial" w:cs="Times New Roman"/>
      <w:kern w:val="2"/>
      <w:lang w:val="uk-UA" w:eastAsia="ko-KR"/>
    </w:rPr>
  </w:style>
  <w:style w:type="paragraph" w:styleId="user5">
    <w:name w:val="Заголовок таблиці (user)"/>
    <w:basedOn w:val="user4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uk-UA" w:bidi="ar-SA"/>
    </w:rPr>
  </w:style>
  <w:style w:type="paragraph" w:styleId="FR2">
    <w:name w:val="FR2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2"/>
      <w:szCs w:val="20"/>
      <w:lang w:val="ru-RU" w:eastAsia="zh-CN" w:bidi="ar-SA"/>
    </w:rPr>
  </w:style>
  <w:style w:type="paragraph" w:styleId="Style21">
    <w:name w:val="Готовый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napToGrid w:val="false"/>
    </w:pPr>
    <w:rPr>
      <w:rFonts w:ascii="Courier New" w:hAnsi="Courier New" w:cs="Courier New"/>
      <w:lang w:val="uk-U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2">
    <w:name w:val="Обычный (веб)"/>
    <w:basedOn w:val="Normal"/>
    <w:qFormat/>
    <w:pPr>
      <w:spacing w:before="150" w:after="150"/>
    </w:pPr>
    <w:rPr>
      <w:lang w:val="uk-UA"/>
    </w:rPr>
  </w:style>
  <w:style w:type="paragraph" w:styleId="Style23">
    <w:name w:val="Вміст рамки"/>
    <w:basedOn w:val="Normal"/>
    <w:qFormat/>
    <w:pPr/>
    <w:rPr/>
  </w:style>
  <w:style w:type="paragraph" w:styleId="14">
    <w:name w:val="Название объекта1"/>
    <w:basedOn w:val="Normal"/>
    <w:qFormat/>
    <w:pPr>
      <w:suppressAutoHyphens w:val="true"/>
      <w:jc w:val="center"/>
    </w:pPr>
    <w:rPr>
      <w:rFonts w:ascii="Times New Roman" w:hAnsi="Times New Roman" w:eastAsia="SimSun;宋体" w:cs="Times New Roman"/>
      <w:b/>
      <w:kern w:val="2"/>
      <w:sz w:val="24"/>
      <w:lang w:bidi="hi-IN"/>
    </w:rPr>
  </w:style>
  <w:style w:type="numbering" w:styleId="Style24" w:default="1">
    <w:name w:val="Без маркерів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zorro.gov.ua/tender/UA-2025-12-11-014356-a" TargetMode="External"/><Relationship Id="rId3" Type="http://schemas.openxmlformats.org/officeDocument/2006/relationships/hyperlink" Target="https://prozorro.gov.ua/tender/UA-2025-12-11-014356-a" TargetMode="External"/><Relationship Id="rId4" Type="http://schemas.openxmlformats.org/officeDocument/2006/relationships/hyperlink" Target="https://prozorro.gov.ua/tender/UA-2025-12-11-014356-a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LibreOffice/25.2.7.2$Windows_X86_64 LibreOffice_project/5cbfd1ab6520636bb5f7b99185aa69bd7456825d</Application>
  <AppVersion>15.0000</AppVersion>
  <Pages>4</Pages>
  <Words>762</Words>
  <Characters>5548</Characters>
  <CharactersWithSpaces>6331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2025-01-07T08:33:00Z</dcterms:created>
  <dc:creator>user</dc:creator>
  <dc:description/>
  <dc:language>uk-UA</dc:language>
  <cp:lastModifiedBy/>
  <dcterms:modified xsi:type="dcterms:W3CDTF">2025-12-22T16:52:49Z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