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120" w:after="0"/>
        <w:contextualSpacing/>
        <w:jc w:val="center"/>
        <w:rPr>
          <w:sz w:val="24"/>
          <w:szCs w:val="24"/>
        </w:rPr>
      </w:pPr>
      <w:bookmarkStart w:id="0" w:name="_GoBack_копія_1"/>
      <w:bookmarkEnd w:id="0"/>
      <w:r>
        <w:rPr>
          <w:rFonts w:ascii="Times New Roman" w:hAnsi="Times New Roman"/>
          <w:b/>
          <w:caps/>
          <w:color w:val="000000"/>
          <w:sz w:val="24"/>
          <w:szCs w:val="24"/>
          <w:lang w:eastAsia="ar-SA"/>
        </w:rPr>
        <w:t>Комунальне некомерційне підприємство</w:t>
      </w:r>
    </w:p>
    <w:p>
      <w:pPr>
        <w:pStyle w:val="Normal"/>
        <w:suppressAutoHyphens w:val="true"/>
        <w:spacing w:lineRule="auto" w:line="360" w:before="0" w:after="0"/>
        <w:jc w:val="center"/>
        <w:rPr>
          <w:sz w:val="24"/>
          <w:szCs w:val="24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eastAsia="ar-SA"/>
        </w:rPr>
        <w:t>«Міська поліклініка № 20» Харківської міської ради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ОБҐРУНТУВАННЯ 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технічних та якісних характеристик 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 xml:space="preserve">закупівлі </w:t>
      </w:r>
      <w:r>
        <w:rPr>
          <w:rFonts w:eastAsia="Calibri" w:cs="Times New Roman" w:ascii="Times New Roman" w:hAnsi="Times New Roman"/>
          <w:b/>
          <w:bCs/>
          <w:i w:val="false"/>
          <w:iCs/>
          <w:caps w:val="false"/>
          <w:smallCaps w:val="false"/>
          <w:color w:val="242638"/>
          <w:spacing w:val="0"/>
          <w:sz w:val="22"/>
          <w:szCs w:val="22"/>
          <w:highlight w:val="white"/>
          <w:lang w:val="uk-UA" w:eastAsia="uk-UA" w:bidi="hi-IN"/>
        </w:rPr>
        <w:t>Послуги з проведення лабораторних досліджень біологічних матеріалів пацієнтів Замовника згідно Національної програми «Скринінг здоров’я 40+»</w:t>
      </w:r>
      <w:r>
        <w:rPr>
          <w:rFonts w:eastAsia="Calibri" w:cs="Times New Roman" w:ascii="Times New Roman" w:hAnsi="Times New Roman"/>
          <w:b/>
          <w:bCs/>
          <w:iCs/>
          <w:color w:val="000000"/>
          <w:sz w:val="24"/>
          <w:szCs w:val="24"/>
          <w:highlight w:val="white"/>
          <w:lang w:val="uk-UA" w:eastAsia="uk-UA"/>
        </w:rPr>
        <w:t xml:space="preserve"> 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ДК 021:2015: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242638"/>
          <w:spacing w:val="0"/>
          <w:sz w:val="21"/>
        </w:rPr>
        <w:t>85140000-2 — Послуги у сфері охорони здоров’я різні</w:t>
      </w:r>
      <w:r>
        <w:rPr/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uk-UA"/>
        </w:rPr>
        <w:t xml:space="preserve">(оприлюднюється на виконання постанови КМУ № 710 від 11.10.2016 «Про ефективне використання державних коштів» (зі змінами)). </w:t>
      </w:r>
      <w:r>
        <w:rPr>
          <w:rFonts w:ascii="Times New Roman" w:hAnsi="Times New Roman"/>
          <w:color w:val="000000"/>
          <w:sz w:val="24"/>
          <w:szCs w:val="24"/>
        </w:rPr>
        <w:t xml:space="preserve">Відповідно до ч.2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ст.3  Закону України «Про відкритість використання публічних коштів»: «Інформація, зазначена в цьому пункті, оприлюднюється щорічно, не пізніше 31 січня року, наступного за звітним роком, та зберігається в режимі вільного доступу протягом трьох років з дня оприлюднення.»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uk-UA"/>
        </w:rPr>
        <w:br/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 xml:space="preserve">Комунальне  некомерційне підприємство  «Міська  поліклініка  № 20»  Харківської  міської  ради ;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61068, Україна, Харківська область, м. Харків, проспект Героїв Харкова, буд.179;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uk-UA"/>
        </w:rPr>
        <w:t xml:space="preserve"> ідентифікаційний код: 34017656;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юридична  особа, яка  забезпечує  потреби  держави  або  територіальної  громади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eastAsia="uk-UA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>
        <w:rPr>
          <w:rFonts w:eastAsia="Calibri" w:cs="Times New Roman" w:ascii="Times New Roman" w:hAnsi="Times New Roman"/>
          <w:b/>
          <w:bCs/>
          <w:i w:val="false"/>
          <w:iCs/>
          <w:caps w:val="false"/>
          <w:smallCaps w:val="false"/>
          <w:color w:val="242638"/>
          <w:spacing w:val="0"/>
          <w:sz w:val="22"/>
          <w:szCs w:val="22"/>
          <w:highlight w:val="white"/>
          <w:shd w:fill="auto" w:val="clear"/>
          <w:lang w:val="uk-UA" w:eastAsia="uk-UA" w:bidi="hi-IN"/>
        </w:rPr>
        <w:t>Послуги з проведення лабораторних досліджень біологічних матеріалів пацієнтів Замовника згідно Національної програми «Скринінг здоров’я 40+»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</w:t>
      </w: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4"/>
          <w:szCs w:val="24"/>
          <w:highlight w:val="white"/>
          <w:shd w:fill="auto" w:val="clear"/>
          <w:lang w:val="uk-UA" w:eastAsia="uk-UA"/>
        </w:rPr>
        <w:t xml:space="preserve"> ДК 021:2015: </w:t>
      </w:r>
      <w:r>
        <w:rPr>
          <w:rFonts w:eastAsia="Calibri" w:cs="Times New Roman" w:ascii="Times New Roman" w:hAnsi="Times New Roman"/>
          <w:b/>
          <w:bCs/>
          <w:i w:val="false"/>
          <w:iCs/>
          <w:caps w:val="false"/>
          <w:smallCaps w:val="false"/>
          <w:color w:val="242638"/>
          <w:spacing w:val="0"/>
          <w:sz w:val="21"/>
          <w:szCs w:val="24"/>
          <w:highlight w:val="white"/>
          <w:shd w:fill="auto" w:val="clear"/>
          <w:lang w:val="uk-UA" w:eastAsia="uk-UA"/>
        </w:rPr>
        <w:t>85140000-2 — Послуги у сфері охорони здоров’я різні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b/>
          <w:bCs/>
          <w:color w:val="000000"/>
          <w:sz w:val="24"/>
          <w:szCs w:val="24"/>
          <w:lang w:eastAsia="uk-UA"/>
        </w:rPr>
        <w:t> 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Вид та ідентифікатор процедури закупівлі: 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shd w:fill="F0F5F2" w:val="clear"/>
          <w:lang w:eastAsia="uk-UA"/>
        </w:rPr>
        <w:t xml:space="preserve">ВІДКРИТІ ТОРГИ З ОСОБЛИВОСТЯМИ </w:t>
      </w:r>
    </w:p>
    <w:p>
      <w:pPr>
        <w:pStyle w:val="Normal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shd w:fill="F0F5F2" w:val="clear"/>
          <w:lang w:eastAsia="uk-UA"/>
        </w:rPr>
      </w:pPr>
      <w:r>
        <w:rPr>
          <w:rFonts w:ascii="Open Sans;Arial;sans-serif" w:hAnsi="Open Sans;Arial;sans-serif"/>
          <w:b/>
          <w:bCs/>
          <w:i w:val="false"/>
          <w:caps w:val="false"/>
          <w:smallCaps w:val="false"/>
          <w:color w:val="2070D1"/>
          <w:spacing w:val="0"/>
          <w:sz w:val="24"/>
          <w:szCs w:val="24"/>
          <w:u w:val="single"/>
          <w:shd w:fill="F0F5F2" w:val="clear"/>
          <w:lang w:eastAsia="uk-UA"/>
        </w:rPr>
        <w:t>UA-2026-08-10-009732-a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u w:val="single"/>
          <w:shd w:fill="F0F5F2" w:val="clear"/>
          <w:lang w:eastAsia="uk-UA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fill="FFFFFF" w:val="clear"/>
        </w:rPr>
        <w:t>Вид закупівлі: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u w:val="single"/>
          <w:shd w:fill="FFFFFF" w:val="clear"/>
        </w:rPr>
        <w:t>процедура закупівлі - Замовники, у тому числі централізовані закупівельні організації, здійснюють закупівлі товарів і послуг (крім послуг з поточного ремонту, предмет закупівлі яких визначається відповідно до пункту 3 розділу II Порядку визначення предмета закупівлі, затвердженого наказом Мінекономіки від 15 квітня 2020 р. № 708 (далі - послуги з поточного ремонту), вартість яких становить або перевищує 100 тис. гривень, послуг з поточного ремонту, вартість яких становить або перевищує 200 тис. гривень, робіт, вартість яких становить або перевищує 1,5 млн гривень, шляхом застосування відкритих торгів у порядку, визначеному цими особливостями, та/або шляхом використання електронного каталогу для закупівлі товару відповідно до порядку, встановленого постановою Кабінету Міністрів України від 14 вересня 2020 р. № 822 “Про затвердження Порядку формування та використання електронного каталогу”, з урахуванням положень, визначених особливостями  - відкриті торги з особливостями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Очікувана вартість та обґрунтування очікуваної вартості предмета закупівлі:</w:t>
      </w:r>
      <w:r>
        <w:rPr>
          <w:rFonts w:ascii="Times New Roman" w:hAnsi="Times New Roman"/>
          <w:color w:val="000000"/>
          <w:sz w:val="24"/>
          <w:szCs w:val="24"/>
          <w:lang w:eastAsia="uk-UA"/>
        </w:rPr>
        <w:t xml:space="preserve">    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 xml:space="preserve">   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uk-UA"/>
        </w:rPr>
        <w:t>2297000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,00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 w:val="false"/>
          <w:iCs w:val="false"/>
          <w:color w:val="000000"/>
          <w:sz w:val="24"/>
          <w:szCs w:val="24"/>
          <w:u w:val="none"/>
          <w:lang w:eastAsia="uk-UA"/>
        </w:rPr>
        <w:t>грн з ПДВ</w:t>
      </w:r>
    </w:p>
    <w:p>
      <w:pPr>
        <w:pStyle w:val="11"/>
        <w:tabs>
          <w:tab w:val="clear" w:pos="708"/>
          <w:tab w:val="left" w:pos="0" w:leader="none"/>
        </w:tabs>
        <w:ind w:hanging="0" w:left="0" w:right="-79"/>
        <w:rPr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>Очікувана вартість предмета  закупівлі визначена шляхом проведення моніторингу цін на підставі комерційних пропозицій, отриманих від суб’єктів господарювання.</w:t>
      </w:r>
    </w:p>
    <w:p>
      <w:pPr>
        <w:pStyle w:val="Normal"/>
        <w:shd w:val="clear" w:color="auto" w:fill="FFFFFF"/>
        <w:spacing w:before="0" w:after="0"/>
        <w:jc w:val="both"/>
        <w:rPr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  <w:lang w:eastAsia="uk-UA"/>
        </w:rPr>
        <w:t>Розмір бюджетного призначення:</w:t>
      </w:r>
      <w:r>
        <w:rPr>
          <w:rFonts w:ascii="Times New Roman" w:hAnsi="Times New Roman"/>
          <w:color w:val="000000"/>
          <w:sz w:val="24"/>
          <w:szCs w:val="24"/>
          <w:u w:val="none"/>
          <w:lang w:eastAsia="uk-UA"/>
        </w:rPr>
        <w:t> 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  <w:u w:val="none"/>
          <w:shd w:fill="FFFFFF" w:val="clear"/>
          <w:lang w:val="uk-UA" w:eastAsia="ru-RU" w:bidi="hi-IN"/>
        </w:rPr>
        <w:t xml:space="preserve">Джерело фінансування: власний бюджет (кошти від господарської діяльності підприємства) </w:t>
      </w:r>
    </w:p>
    <w:tbl>
      <w:tblPr>
        <w:tblW w:w="1930" w:type="dxa"/>
        <w:jc w:val="left"/>
        <w:tblInd w:w="7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</w:tblGrid>
      <w:tr>
        <w:trPr/>
        <w:tc>
          <w:tcPr>
            <w:tcW w:w="193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val="uk-UA" w:eastAsia="uk-UA"/>
              </w:rPr>
              <w:t>2297000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,00</w:t>
            </w:r>
          </w:p>
        </w:tc>
      </w:tr>
    </w:tbl>
    <w:p>
      <w:pPr>
        <w:pStyle w:val="11"/>
        <w:tabs>
          <w:tab w:val="clear" w:pos="708"/>
          <w:tab w:val="left" w:pos="0" w:leader="none"/>
        </w:tabs>
        <w:ind w:hanging="0" w:left="0" w:right="-79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uk-UA"/>
        </w:rPr>
        <w:t>Обґрунтування якісних та технічних характеристик. </w:t>
      </w:r>
      <w:r>
        <w:rPr>
          <w:bCs/>
          <w:color w:val="000000"/>
          <w:sz w:val="24"/>
          <w:szCs w:val="24"/>
          <w:lang w:eastAsia="uk-UA"/>
        </w:rPr>
        <w:t xml:space="preserve">Строк </w:t>
      </w:r>
      <w:r>
        <w:rPr>
          <w:bCs/>
          <w:color w:val="000000"/>
          <w:sz w:val="24"/>
          <w:szCs w:val="24"/>
          <w:lang w:val="uk-UA" w:eastAsia="uk-UA"/>
        </w:rPr>
        <w:t>поставки товару</w:t>
      </w:r>
      <w:r>
        <w:rPr>
          <w:bCs/>
          <w:color w:val="000000"/>
          <w:sz w:val="24"/>
          <w:szCs w:val="24"/>
          <w:lang w:eastAsia="uk-UA"/>
        </w:rPr>
        <w:t>:</w:t>
      </w:r>
      <w:r>
        <w:rPr>
          <w:i/>
          <w:iCs/>
          <w:color w:val="000000"/>
          <w:sz w:val="24"/>
          <w:szCs w:val="24"/>
          <w:lang w:eastAsia="uk-UA"/>
        </w:rPr>
        <w:t xml:space="preserve"> </w:t>
      </w:r>
      <w:r>
        <w:rPr>
          <w:color w:val="000000"/>
          <w:sz w:val="24"/>
          <w:szCs w:val="24"/>
          <w:lang w:eastAsia="uk-UA"/>
        </w:rPr>
        <w:t> </w:t>
      </w:r>
      <w:r>
        <w:rPr>
          <w:b/>
          <w:bCs/>
          <w:color w:val="000000"/>
          <w:sz w:val="24"/>
          <w:szCs w:val="24"/>
          <w:lang w:eastAsia="uk-UA"/>
        </w:rPr>
        <w:t xml:space="preserve">до </w:t>
      </w:r>
      <w:r>
        <w:rPr>
          <w:b/>
          <w:bCs/>
          <w:color w:val="000000"/>
          <w:sz w:val="24"/>
          <w:szCs w:val="24"/>
          <w:lang w:val="uk-UA" w:eastAsia="uk-UA"/>
        </w:rPr>
        <w:t xml:space="preserve">31 грудня </w:t>
      </w:r>
      <w:r>
        <w:rPr>
          <w:b/>
          <w:bCs/>
          <w:color w:val="000000"/>
          <w:sz w:val="24"/>
          <w:szCs w:val="24"/>
          <w:lang w:eastAsia="uk-UA"/>
        </w:rPr>
        <w:t>202</w:t>
      </w:r>
      <w:r>
        <w:rPr>
          <w:b/>
          <w:bCs/>
          <w:color w:val="000000"/>
          <w:sz w:val="24"/>
          <w:szCs w:val="24"/>
          <w:lang w:val="uk-UA" w:eastAsia="uk-UA"/>
        </w:rPr>
        <w:t>6</w:t>
      </w:r>
      <w:r>
        <w:rPr>
          <w:b/>
          <w:bCs/>
          <w:color w:val="000000"/>
          <w:sz w:val="24"/>
          <w:szCs w:val="24"/>
          <w:lang w:eastAsia="uk-UA"/>
        </w:rPr>
        <w:t xml:space="preserve"> року.</w:t>
      </w:r>
    </w:p>
    <w:p>
      <w:pPr>
        <w:pStyle w:val="Normal"/>
        <w:tabs>
          <w:tab w:val="clear" w:pos="708"/>
          <w:tab w:val="left" w:pos="2835" w:leader="none"/>
        </w:tabs>
        <w:spacing w:lineRule="auto" w:line="276"/>
        <w:ind w:left="2832" w:right="28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-8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1" w:name="_Hlk147321821"/>
      <w:r>
        <w:rPr>
          <w:rFonts w:cs="Times New Roman" w:ascii="Times New Roman" w:hAnsi="Times New Roman"/>
          <w:b/>
          <w:sz w:val="24"/>
          <w:szCs w:val="24"/>
          <w:lang w:val="uk-UA"/>
        </w:rPr>
        <w:t>ІНФОРМАЦІЯ ПРО НЕОБХІДНІ ТЕХНІЧНІ, ЯКІСНІ ТА КІЛЬКІСНІ ХАРАКТЕРИСТИКИ ПРЕДМЕТА ЗАКУПІВЛІ</w:t>
      </w:r>
    </w:p>
    <w:p>
      <w:pPr>
        <w:pStyle w:val="Normal"/>
        <w:spacing w:lineRule="auto" w:line="240" w:before="0" w:after="0"/>
        <w:ind w:right="-8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</w:r>
    </w:p>
    <w:p>
      <w:pPr>
        <w:pStyle w:val="Heading2"/>
        <w:spacing w:lineRule="auto" w:line="240" w:before="0"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242638"/>
          <w:spacing w:val="0"/>
          <w:sz w:val="24"/>
          <w:szCs w:val="24"/>
        </w:rPr>
        <w:t>Послуги з проведення лабораторних досліджень біологічних матеріалів пацієнтів Замовника згідно Національної програми «Скринінг здоров’я 40+»</w:t>
      </w:r>
    </w:p>
    <w:p>
      <w:pPr>
        <w:pStyle w:val="Normal"/>
        <w:spacing w:lineRule="auto" w:line="240" w:before="0" w:after="0"/>
        <w:ind w:hanging="0" w:left="0" w:right="-8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val="uk-UA"/>
        </w:rPr>
        <w:t xml:space="preserve">код ДК 021:2015 –85140000-2 «Послуги у сфері охорони здоров’я різні» </w:t>
      </w:r>
    </w:p>
    <w:p>
      <w:pPr>
        <w:pStyle w:val="Normal"/>
        <w:spacing w:lineRule="auto" w:line="240" w:before="0" w:after="0"/>
        <w:ind w:right="-8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ind w:firstLine="708" w:right="-8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/>
        </w:rPr>
        <w:t>Реалізація проекту щодо проведення скринінгу здоров'я для осіб віком від 40 років здійснюється відповідно до постанови Кабінету Міністрів України від 10 грудня 2025 року № 1652 “Деякі питання проведення скринінгу здоров'я для осіб віком від 40 років” (далі – постанова КМУ).</w:t>
      </w:r>
    </w:p>
    <w:p>
      <w:pPr>
        <w:pStyle w:val="Normal"/>
        <w:keepNext w:val="true"/>
        <w:widowControl w:val="false"/>
        <w:spacing w:lineRule="auto" w:line="240" w:before="0" w:after="0"/>
        <w:ind w:firstLine="708" w:right="-87"/>
        <w:jc w:val="both"/>
        <w:rPr>
          <w:rFonts w:ascii="Times New Roman" w:hAnsi="Times New Roman" w:eastAsia="Times New Roman" w:cs="Times New Roman"/>
          <w:i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val="uk-UA"/>
        </w:rPr>
        <w:t xml:space="preserve">Послуги з проведення лабораторних досліджень біологічних матеріалів пацієнтів Замовника згідно проєкту програми скринінг здоров'я, за адресою: </w:t>
      </w:r>
      <w:r>
        <w:rPr>
          <w:rFonts w:eastAsia="Times New Roman" w:cs="Times New Roman" w:ascii="Times New Roman" w:hAnsi="Times New Roman"/>
          <w:iCs/>
          <w:color w:val="000000"/>
          <w:sz w:val="24"/>
          <w:szCs w:val="24"/>
          <w:u w:val="single"/>
          <w:lang w:val="uk-UA"/>
        </w:rPr>
        <w:t>61068, м.Харків, проспект Героїв Харкова 179.</w:t>
      </w:r>
    </w:p>
    <w:p>
      <w:pPr>
        <w:pStyle w:val="Normal"/>
        <w:spacing w:lineRule="auto" w:line="240" w:before="0" w:after="0"/>
        <w:ind w:firstLine="708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Інформація про Учасника повинна міститись в переліку суб'єктів господарювання, які отримали ліцензію на провадження господарської діяльності з медичної практики, який розміщено на офіційному веб-сайті Міністерства охорони здоров'я України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Витяг відомостей з Ліцензійного реєстру МОЗ з медичної практики або інший підтверджуючий документ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).</w:t>
      </w:r>
    </w:p>
    <w:p>
      <w:pPr>
        <w:pStyle w:val="Normal"/>
        <w:spacing w:lineRule="auto" w:line="240" w:before="0" w:after="0"/>
        <w:ind w:firstLine="708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. Учасник підтверджує відповідність тендерної пропозиції технічним, якісним та кількісним характеристикам предмета закупівлі згідно вимог викладеним у Додатку №2 до тендерної документації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гарантійний лист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).</w:t>
      </w:r>
    </w:p>
    <w:p>
      <w:pPr>
        <w:pStyle w:val="Normal"/>
        <w:spacing w:lineRule="auto" w:line="240" w:before="0" w:after="0"/>
        <w:ind w:firstLine="708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Лабораторні дослідження повинні виконуватися кваліфікованим персоналом Учасника на обладнанні, яке відповідає нормам чинного законодавства України, з використанням реактивів, реагентів. витратних матеріалів тощо в кількості відповідно до кількості послуг згідно цього Додатку 2 до тендерної документації, які відповідають вимогам технічного регламенту щодо медичних виробів та діючим стандартам якості та дозволені у застосування в Україні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надати гарантійний лист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).</w:t>
      </w:r>
    </w:p>
    <w:p>
      <w:pPr>
        <w:pStyle w:val="Normal"/>
        <w:spacing w:lineRule="auto" w:line="240" w:before="0" w:after="0"/>
        <w:ind w:firstLine="708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Учасник (виконавець) зобов’язаний бути зареєстрований в Реєстрі суб’єктів господарювання електронної системи охорони здоров’я (ЕСОЗ)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гарантійний лист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).</w:t>
      </w:r>
    </w:p>
    <w:p>
      <w:pPr>
        <w:pStyle w:val="Normal"/>
        <w:spacing w:lineRule="auto" w:line="240" w:before="0" w:after="0"/>
        <w:ind w:firstLine="708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Лабораторія має проводити повірку засобів випробувальної техніки, атестацію випробувального обладнання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довідку в довільній формі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). </w:t>
      </w:r>
    </w:p>
    <w:p>
      <w:pPr>
        <w:pStyle w:val="Normal"/>
        <w:spacing w:lineRule="auto" w:line="240" w:before="0" w:after="0"/>
        <w:ind w:firstLine="708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Учасник (виконавець) повинен забезпечувати щоденний внутрішній контроль якості із застосуванням сертифікованих контрольних матеріалів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довідку у довільній формі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).</w:t>
      </w:r>
    </w:p>
    <w:p>
      <w:pPr>
        <w:pStyle w:val="Normal"/>
        <w:spacing w:lineRule="auto" w:line="240" w:before="0" w:after="0"/>
        <w:ind w:firstLine="708" w:right="-8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shd w:fill="auto" w:val="clear"/>
          <w:lang w:val="uk-U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ListParagraph"/>
        <w:spacing w:lineRule="auto" w:line="240" w:before="0" w:after="0"/>
        <w:ind w:left="0" w:right="-8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</w:rPr>
        <w:t>Інші вимоги:</w:t>
      </w:r>
    </w:p>
    <w:p>
      <w:pPr>
        <w:pStyle w:val="Normal"/>
        <w:spacing w:lineRule="auto" w:line="240" w:before="0" w:after="0"/>
        <w:ind w:firstLine="284" w:right="-8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cs="Times New Roman" w:ascii="Times New Roman" w:hAnsi="Times New Roman"/>
          <w:bCs/>
          <w:sz w:val="24"/>
          <w:szCs w:val="24"/>
          <w:lang w:val="uk-UA"/>
        </w:rPr>
        <w:t>Вартість послуг повинна включати всі витрати, пов’язані з предметом закупівлі (сплата податків, обов’язкових платежів, страхування, витрати пов’язані з отриманням необхідних дозволів та ліцензій тощо, умови поставки).</w:t>
      </w:r>
    </w:p>
    <w:p>
      <w:pPr>
        <w:pStyle w:val="Normal"/>
        <w:spacing w:lineRule="auto" w:line="240" w:before="0" w:after="0"/>
        <w:ind w:firstLine="284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Якість послуг повинна відповідати чинним вимогам нормативної документації, яка встановлює вимоги до якості наданих послуг та умовам тендерної документації замовника. Виконавець несе відповідальність за якість наданих послуг та повинен дотримуватися у процесі лабораторної діагностики відповідної якості дослідження згідно встановлених в Україні стандартів. Під час надання послуг виконавець повинен забезпечити дотримання вимог безпеки праці, санітарних норм та правил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гарантійний лист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). </w:t>
      </w:r>
    </w:p>
    <w:p>
      <w:pPr>
        <w:pStyle w:val="Normal"/>
        <w:spacing w:lineRule="auto" w:line="240" w:before="0" w:after="0"/>
        <w:ind w:firstLine="284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Не допускається тривале зберігання біологічного матеріалу для запобігання втрати його  діагностичної інформативності та з метою дотримання критеріїв точності та достовірності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гарантійний лист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). </w:t>
      </w:r>
    </w:p>
    <w:p>
      <w:pPr>
        <w:pStyle w:val="Normal"/>
        <w:spacing w:lineRule="auto" w:line="240" w:before="0" w:after="0"/>
        <w:ind w:firstLine="284" w:right="-87"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Учасник (виконавець) повинен забезпечити захист персональних даних  та медичної інформації пацієнтів відповідно до законодавства, в т.ч. Закону України «Про захист персональних даних» (</w:t>
      </w: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shd w:fill="auto" w:val="clear"/>
          <w:lang w:val="uk-UA"/>
        </w:rPr>
        <w:t>на підтвердження надати гарантійний лист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>).</w:t>
      </w:r>
    </w:p>
    <w:p>
      <w:pPr>
        <w:pStyle w:val="Normal"/>
        <w:spacing w:lineRule="auto" w:line="240" w:before="0" w:after="0"/>
        <w:ind w:right="-87"/>
        <w:rPr>
          <w:rFonts w:ascii="Times New Roman" w:hAnsi="Times New Roman" w:cs="Times New Roman"/>
          <w:b/>
          <w:sz w:val="24"/>
          <w:szCs w:val="24"/>
          <w:highlight w:val="none"/>
          <w:shd w:fill="auto" w:val="clear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  <w:lang w:val="uk-UA"/>
        </w:rPr>
      </w:r>
    </w:p>
    <w:p>
      <w:pPr>
        <w:pStyle w:val="Normal"/>
        <w:spacing w:lineRule="auto" w:line="240" w:before="0" w:after="0"/>
        <w:ind w:right="-87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ind w:right="-87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cs="Times New Roman" w:ascii="Times New Roman" w:hAnsi="Times New Roman"/>
          <w:b/>
          <w:sz w:val="24"/>
          <w:szCs w:val="24"/>
          <w:lang w:val="uk-UA"/>
        </w:rPr>
        <w:t>Загальні вимоги: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contextualSpacing/>
        <w:jc w:val="both"/>
        <w:rPr>
          <w:rFonts w:ascii="Times New Roman" w:hAnsi="Times New Roman" w:eastAsia="Times New Roman" w:cs="Times New Roman"/>
          <w:color w:val="000000"/>
          <w:kern w:val="2"/>
          <w:sz w:val="24"/>
          <w:szCs w:val="24"/>
          <w:lang w:val="uk-UA" w:eastAsia="zh-CN"/>
        </w:rPr>
      </w:pPr>
      <w:bookmarkEnd w:id="1"/>
      <w:r>
        <w:rPr>
          <w:rFonts w:eastAsia="Arial" w:cs="Times New Roman" w:ascii="Times New Roman" w:hAnsi="Times New Roman"/>
          <w:color w:val="000000"/>
          <w:sz w:val="24"/>
          <w:szCs w:val="24"/>
          <w:lang w:val="uk-UA" w:eastAsia="ar-SA"/>
        </w:rPr>
        <w:t xml:space="preserve">   </w:t>
      </w:r>
      <w:bookmarkStart w:id="2" w:name="_Hlk215216456"/>
      <w:r>
        <w:rPr>
          <w:rFonts w:eastAsia="Arial" w:cs="Times New Roman" w:ascii="Times New Roman" w:hAnsi="Times New Roman"/>
          <w:color w:val="000000"/>
          <w:sz w:val="24"/>
          <w:szCs w:val="24"/>
          <w:lang w:val="uk-UA" w:eastAsia="ar-SA"/>
        </w:rPr>
        <w:t xml:space="preserve">Забір венозної крові для лабораторних досліджень від пацієнтів здійснюється медичним персоналом Замовника в вакуумні контейнери Виконавця.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uk-UA" w:eastAsia="zh-CN"/>
        </w:rPr>
        <w:t>Виконавець надає Замовнику стерильне лабораторне приладдя, необхідне для забору зразків біоматеріалу від пацієнтів з метою проведення лабораторних досліджень (пробірки, контейнери для збору сечі, рукавички, спиртові серветки, контейнери для безпечної утилізації (КБУ)) та бланки направлень на аналізи), а також у разі необхідності сумки-холодильники для тимчасового зберігання біоматеріалів до моменту їх передачі Виконавцю.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-8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uk-UA" w:eastAsia="zh-CN"/>
        </w:rPr>
        <w:t>Замовник буде самостійно здійснювати забір біологічного матеріалу в процедурних кабінетах Замовника з 08:00 до 10:30 години в робочі дні (понеділок – п’ятниця) відповідно до режиму роботи Замовника за адресою: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u w:val="single"/>
          <w:lang w:val="uk-UA" w:eastAsia="zh-CN"/>
        </w:rPr>
        <w:t xml:space="preserve"> 61068, м.Харків, проспект Героїв Харкова 179.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-8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  <w:t xml:space="preserve">   </w:t>
      </w:r>
      <w:r>
        <w:rPr>
          <w:rFonts w:cs="Times New Roman" w:ascii="Times New Roman" w:hAnsi="Times New Roman"/>
          <w:sz w:val="24"/>
          <w:szCs w:val="24"/>
          <w:lang w:val="uk-UA"/>
        </w:rPr>
        <w:t>Забір біологічного матеріалу в рамках скринінгу здоров’я (HbA1c, електроліти, креатинін з розрахунком eGFR, співвідношення альбумін/креатинін у сечі, с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val="uk-UA" w:eastAsia="ru-RU"/>
        </w:rPr>
        <w:t>іалові кислоти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) проводиться протягом годин роботи Замовника,  з необхідністю дотримання вимог до стабільності зразків. </w:t>
      </w:r>
    </w:p>
    <w:p>
      <w:pPr>
        <w:pStyle w:val="Normal"/>
        <w:suppressAutoHyphens w:val="true"/>
        <w:spacing w:lineRule="auto" w:line="240" w:before="0" w:after="0"/>
        <w:ind w:right="-8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  <w:t xml:space="preserve">Біохімічні дослідження, що виконуються із сироватки (електроліти, креатинін), мають бути центрифуговані не пізніше ніж через 2 години після забору. </w:t>
      </w:r>
    </w:p>
    <w:p>
      <w:pPr>
        <w:pStyle w:val="Normal"/>
        <w:suppressAutoHyphens w:val="true"/>
        <w:spacing w:lineRule="auto" w:line="240" w:before="0" w:after="0"/>
        <w:ind w:right="-8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  <w:t>Результати HbA1c (кров EDTA) та ACR (сеча) можуть зберігатися при температурі +2...+8°C та транспортуватися до лабораторії протягом 24 – 72 годин без втрати аналітичної якості.</w:t>
      </w:r>
    </w:p>
    <w:p>
      <w:pPr>
        <w:pStyle w:val="Normal"/>
        <w:suppressAutoHyphens w:val="true"/>
        <w:spacing w:lineRule="auto" w:line="240" w:before="0" w:after="0"/>
        <w:ind w:right="-8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  <w:t>Направлення пацієнтів для забору біоматеріалу в рамках скринінгу здоров’я до інших місць надання медичних послуг Замовника, допускається лише у випадку тимчасової технічної несправності або відсутності умов для безпечного забору.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pacing w:val="-1"/>
          <w:sz w:val="24"/>
          <w:szCs w:val="24"/>
          <w:lang w:val="uk-UA"/>
        </w:rPr>
        <w:t xml:space="preserve">    </w:t>
      </w:r>
      <w:r>
        <w:rPr>
          <w:rFonts w:cs="Times New Roman" w:ascii="Times New Roman" w:hAnsi="Times New Roman"/>
          <w:spacing w:val="-1"/>
          <w:sz w:val="24"/>
          <w:szCs w:val="24"/>
          <w:lang w:val="uk-UA"/>
        </w:rPr>
        <w:t xml:space="preserve">Матеріал на дослідження Замовник отримує в робочі дні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uk-UA" w:eastAsia="zh-CN"/>
        </w:rPr>
        <w:t xml:space="preserve">з 08:00 до 10:30 години (понеділок – п’ятниця) відповідно до режиму роботи Замовника за адресою: </w:t>
      </w:r>
      <w:r>
        <w:rPr>
          <w:rFonts w:eastAsia="Times New Roman" w:cs="Times New Roman" w:ascii="Times New Roman" w:hAnsi="Times New Roman"/>
          <w:iCs/>
          <w:color w:val="000000"/>
          <w:kern w:val="2"/>
          <w:sz w:val="24"/>
          <w:szCs w:val="24"/>
          <w:u w:val="single"/>
          <w:lang w:val="uk-UA" w:eastAsia="zh-CN"/>
        </w:rPr>
        <w:t>61068, м.Харків, проспект Героїв Харкова 179.</w:t>
      </w:r>
    </w:p>
    <w:p>
      <w:pPr>
        <w:pStyle w:val="Normal"/>
        <w:suppressAutoHyphens w:val="true"/>
        <w:spacing w:lineRule="auto" w:line="240" w:before="0" w:after="0"/>
        <w:ind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Учасник повинен забезпечити за власний рахунок транспортування біологічного матеріалу із дотриманням відповідного температурного режиму та вимог щодо </w:t>
      </w:r>
      <w:r>
        <w:rPr>
          <w:rFonts w:cs="Times New Roman" w:ascii="Times New Roman" w:hAnsi="Times New Roman"/>
          <w:bCs/>
          <w:sz w:val="24"/>
          <w:szCs w:val="24"/>
          <w:shd w:fill="auto" w:val="clear"/>
          <w:lang w:val="uk-UA"/>
        </w:rPr>
        <w:t xml:space="preserve">організації профілактики інфекцій та інфекційного контролю 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в транспортувальному боксі для проведення лабораторних досліджень згідно графіку прийому біологічного матеріалу, а саме: 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shd w:fill="auto" w:val="clear"/>
          <w:lang w:val="uk-UA" w:eastAsia="zh-CN"/>
        </w:rPr>
        <w:t>з 10:30 до 12:00 години в робочі дні (понеділок – п’ятниця) відповідно до режиму роботи Замовника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 до місця проведення лабораторних досліджень </w:t>
      </w:r>
      <w:r>
        <w:rPr>
          <w:rFonts w:cs="Times New Roman" w:ascii="Times New Roman" w:hAnsi="Times New Roman"/>
          <w:i/>
          <w:sz w:val="24"/>
          <w:szCs w:val="24"/>
          <w:shd w:fill="auto" w:val="clear"/>
          <w:lang w:val="uk-UA"/>
        </w:rPr>
        <w:t>(на підтвердження надати гарантійний лист).</w:t>
      </w:r>
      <w:bookmarkEnd w:id="2"/>
    </w:p>
    <w:p>
      <w:pPr>
        <w:pStyle w:val="Normal"/>
        <w:suppressAutoHyphens w:val="true"/>
        <w:spacing w:lineRule="auto" w:line="240" w:before="0" w:after="0"/>
        <w:ind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     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Лабораторні дослідження проводяться Учасником з використанням власного та/або орендованого лабораторного обладнання. 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val="uk-UA" w:eastAsia="uk-UA"/>
        </w:rPr>
        <w:t xml:space="preserve">     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 w:eastAsia="uk-UA"/>
        </w:rPr>
        <w:t xml:space="preserve">Учасник зобов’язаний документально підтвердити у складі своєї пропозиції успішне проходження сертифікації їхньої діяльності вимогам ДСТУ </w:t>
      </w:r>
      <w:r>
        <w:rPr>
          <w:rFonts w:cs="Times New Roman" w:ascii="Times New Roman" w:hAnsi="Times New Roman"/>
          <w:sz w:val="24"/>
          <w:szCs w:val="24"/>
          <w:shd w:fill="auto" w:val="clear"/>
          <w:lang w:eastAsia="uk-UA"/>
        </w:rPr>
        <w:t>ISO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 w:eastAsia="uk-UA"/>
        </w:rPr>
        <w:t xml:space="preserve"> 9001:2015 «Системи управління якістю. Вимоги» або іншим аналогічним державним стандартам в сфері сертифікації діяльності підприємства, з наданням відповідного сертифікату, який має бути виданий органом, що має відповідний атестат про акредитацію </w:t>
      </w:r>
      <w:r>
        <w:rPr>
          <w:rFonts w:cs="Times New Roman" w:ascii="Times New Roman" w:hAnsi="Times New Roman"/>
          <w:sz w:val="24"/>
          <w:szCs w:val="24"/>
          <w:shd w:fill="auto" w:val="clear"/>
          <w:lang w:eastAsia="uk-UA"/>
        </w:rPr>
        <w:t xml:space="preserve">Національного агентства з акредитації та бути чинним на дату подання пропозиції та діяти протягом всього строку дії договору про закупівлю. 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val="uk-UA" w:eastAsia="uk-UA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 w:eastAsia="uk-UA"/>
        </w:rPr>
        <w:t xml:space="preserve">Лабораторія Учасник має бути акредитована на відповідність вимогам стандарту </w:t>
      </w:r>
      <w:r>
        <w:rPr>
          <w:rFonts w:cs="Times New Roman" w:ascii="Times New Roman" w:hAnsi="Times New Roman"/>
          <w:sz w:val="24"/>
          <w:szCs w:val="24"/>
          <w:shd w:fill="auto" w:val="clear"/>
          <w:lang w:eastAsia="uk-UA"/>
        </w:rPr>
        <w:t>ISO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 w:eastAsia="uk-UA"/>
        </w:rPr>
        <w:t xml:space="preserve"> 15189:2022 «Медичні лабораторії – Вимоги до якості та компетентності», що має бути підтверджено у складі тендерної пропозиції відповідною копією </w:t>
      </w:r>
      <w:r>
        <w:rPr>
          <w:rFonts w:cs="Times New Roman" w:ascii="Times New Roman" w:hAnsi="Times New Roman"/>
          <w:sz w:val="24"/>
          <w:szCs w:val="24"/>
          <w:shd w:fill="auto" w:val="clear"/>
          <w:lang w:eastAsia="uk-UA"/>
        </w:rPr>
        <w:t>Атестату про акредитацію як медичної лабораторії відповідно до вимог ISO 15189:2022, що є чинним на весь період надання послуг.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iCs/>
          <w:spacing w:val="3"/>
          <w:shd w:fill="auto" w:val="clear"/>
          <w:lang w:val="uk-UA" w:eastAsia="uk-UA"/>
        </w:rPr>
        <w:t xml:space="preserve">       </w:t>
      </w:r>
      <w:r>
        <w:rPr>
          <w:rFonts w:cs="Times New Roman" w:ascii="Times New Roman" w:hAnsi="Times New Roman"/>
          <w:iCs/>
          <w:spacing w:val="3"/>
          <w:shd w:fill="auto" w:val="clear"/>
          <w:lang w:val="uk-UA" w:eastAsia="uk-UA"/>
        </w:rPr>
        <w:t>Учасник надає довідку довільної форми про місце розташування лабораторії Учасника/Виконавця у місті Харкові, в якій (яких) будуть здійснюватися дослідження (зазначити адресу (адреси)).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/>
      </w:pPr>
      <w:r>
        <w:rPr>
          <w:rStyle w:val="1"/>
          <w:rFonts w:cs="Times New Roman" w:ascii="Times New Roman" w:hAnsi="Times New Roman"/>
          <w:color w:val="FF4500"/>
          <w:spacing w:val="-1"/>
          <w:sz w:val="24"/>
          <w:szCs w:val="24"/>
          <w:shd w:fill="auto" w:val="clear"/>
          <w:lang w:val="uk-UA"/>
        </w:rPr>
        <w:t xml:space="preserve">   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color w:val="FF4500"/>
          <w:sz w:val="24"/>
          <w:szCs w:val="24"/>
          <w:shd w:fill="auto" w:val="clear"/>
          <w:lang w:val="uk-UA"/>
        </w:rPr>
        <w:t xml:space="preserve">    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>Всі витрати, пов’язані із переміщенням матеріалу на дослідження та надання письмового висновку Замовнику за результатами дослідження, здійснюються за рахунок Виконавця.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      </w:t>
      </w:r>
      <w:r>
        <w:rPr>
          <w:rFonts w:cs="Times New Roman" w:ascii="Times New Roman" w:hAnsi="Times New Roman"/>
          <w:sz w:val="24"/>
          <w:szCs w:val="24"/>
          <w:shd w:fill="auto" w:val="clear"/>
          <w:lang w:val="uk-UA"/>
        </w:rPr>
        <w:t xml:space="preserve">Виконавець несе відповідальність за достовірність, своєчасне отримання та внесення результатів досліджень до електронної системи охорони здоров’я у визначені терміни, незалежно від місця виконання аналізів. 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highlight w:val="none"/>
          <w:shd w:fill="auto" w:val="clear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pacing w:val="3"/>
          <w:sz w:val="24"/>
          <w:szCs w:val="24"/>
          <w:shd w:fill="auto" w:val="clear"/>
          <w:lang w:val="uk-UA"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FF"/>
          <w:spacing w:val="3"/>
          <w:sz w:val="24"/>
          <w:szCs w:val="24"/>
          <w:shd w:fill="auto" w:val="clear"/>
          <w:lang w:val="uk-UA"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pacing w:val="3"/>
          <w:sz w:val="24"/>
          <w:szCs w:val="24"/>
          <w:shd w:fill="auto" w:val="clear"/>
          <w:lang w:val="uk-UA" w:eastAsia="ru-RU"/>
        </w:rPr>
        <w:t xml:space="preserve"> </w:t>
      </w:r>
      <w:r>
        <w:rPr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pacing w:val="3"/>
          <w:kern w:val="2"/>
          <w:sz w:val="24"/>
          <w:szCs w:val="24"/>
          <w:shd w:fill="auto" w:val="clear"/>
          <w:lang w:val="uk-UA" w:eastAsia="ar-SA"/>
        </w:rPr>
        <w:t xml:space="preserve">Видача результату дослідження повинна здійснюватися протягом однієї доби з моменту отримання результатів дослідження біологічного матеріалу, онлайн у повідомленні на електронну пошту  поліклініки </w:t>
      </w:r>
      <w:hyperlink r:id="rId2" w:tgtFrame="_self">
        <w:r>
          <w:rPr>
            <w:rStyle w:val="Hyperlink"/>
            <w:rFonts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color w:val="000000"/>
            <w:spacing w:val="0"/>
            <w:sz w:val="21"/>
            <w:szCs w:val="24"/>
            <w:u w:val="none"/>
            <w:shd w:fill="auto" w:val="clear"/>
            <w:lang w:val="uk-UA" w:eastAsia="ru-RU"/>
          </w:rPr>
          <w:t>poliklinika20@ukr.net</w:t>
        </w:r>
      </w:hyperlink>
      <w:r>
        <w:rPr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pacing w:val="3"/>
          <w:kern w:val="2"/>
          <w:sz w:val="24"/>
          <w:szCs w:val="24"/>
          <w:shd w:fill="auto" w:val="clear"/>
          <w:lang w:val="uk-UA" w:eastAsia="ar-SA"/>
        </w:rPr>
        <w:t xml:space="preserve"> (</w:t>
      </w:r>
      <w:r>
        <w:rPr>
          <w:rFonts w:eastAsia="Arial" w:cs="Times New Roman" w:ascii="Times New Roman" w:hAnsi="Times New Roman"/>
          <w:b w:val="false"/>
          <w:bCs w:val="false"/>
          <w:i/>
          <w:iCs/>
          <w:color w:val="000000"/>
          <w:spacing w:val="3"/>
          <w:kern w:val="2"/>
          <w:sz w:val="24"/>
          <w:szCs w:val="24"/>
          <w:shd w:fill="auto" w:val="clear"/>
          <w:lang w:val="uk-UA" w:eastAsia="ar-SA"/>
        </w:rPr>
        <w:t>на підтвердження надати гарантійний лист</w:t>
      </w:r>
      <w:r>
        <w:rPr>
          <w:rFonts w:eastAsia="Arial" w:cs="Times New Roman" w:ascii="Times New Roman" w:hAnsi="Times New Roman"/>
          <w:b w:val="false"/>
          <w:bCs w:val="false"/>
          <w:i w:val="false"/>
          <w:iCs w:val="false"/>
          <w:color w:val="000000"/>
          <w:spacing w:val="3"/>
          <w:kern w:val="2"/>
          <w:sz w:val="24"/>
          <w:szCs w:val="24"/>
          <w:shd w:fill="auto" w:val="clear"/>
          <w:lang w:val="uk-UA" w:eastAsia="ar-SA"/>
        </w:rPr>
        <w:t>).</w:t>
      </w:r>
      <w:r>
        <w:rPr>
          <w:rFonts w:eastAsia="Arial" w:cs="Times New Roman" w:ascii="Times New Roman" w:hAnsi="Times New Roman"/>
          <w:bCs/>
          <w:i/>
          <w:iCs/>
          <w:color w:val="000000"/>
          <w:spacing w:val="3"/>
          <w:kern w:val="2"/>
          <w:sz w:val="24"/>
          <w:szCs w:val="24"/>
          <w:shd w:fill="auto" w:val="clear"/>
          <w:lang w:val="uk-UA" w:eastAsia="ar-SA"/>
        </w:rPr>
        <w:t xml:space="preserve"> 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0" w:right="-87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color w:val="000000"/>
          <w:spacing w:val="3"/>
          <w:sz w:val="24"/>
          <w:szCs w:val="24"/>
          <w:shd w:fill="auto" w:val="clear"/>
          <w:lang w:val="uk-UA" w:eastAsia="ru-RU"/>
        </w:rPr>
        <w:t xml:space="preserve">     </w:t>
      </w:r>
      <w:r>
        <w:rPr>
          <w:rFonts w:cs="Times New Roman" w:ascii="Times New Roman" w:hAnsi="Times New Roman"/>
          <w:color w:val="000000"/>
          <w:spacing w:val="3"/>
          <w:sz w:val="24"/>
          <w:szCs w:val="24"/>
          <w:shd w:fill="auto" w:val="clear"/>
          <w:lang w:val="uk-UA" w:eastAsia="ru-RU"/>
        </w:rPr>
        <w:t>Виконавець також зобов’язаний  надати результат лабораторних досліджен</w:t>
      </w:r>
      <w:r>
        <w:rPr>
          <w:rFonts w:cs="Times New Roman" w:ascii="Times New Roman" w:hAnsi="Times New Roman"/>
          <w:color w:val="000000"/>
          <w:spacing w:val="3"/>
          <w:sz w:val="24"/>
          <w:szCs w:val="24"/>
          <w:lang w:val="uk-UA" w:eastAsia="ru-RU"/>
        </w:rPr>
        <w:t xml:space="preserve">ь Замовнику в друкованому вигляді та </w:t>
      </w:r>
      <w:r>
        <w:rPr>
          <w:rFonts w:cs="Times New Roman" w:ascii="Times New Roman" w:hAnsi="Times New Roman"/>
          <w:sz w:val="24"/>
          <w:szCs w:val="24"/>
          <w:lang w:val="uk-UA"/>
        </w:rPr>
        <w:t>забезпечити повну конфіденційність усіх отриманих під час надання послуг даних, у тому числі результатів лабораторних досліджень, персональних даних Замовника та іншої інформації з обмеженим доступом розголошувати.</w:t>
      </w:r>
    </w:p>
    <w:p>
      <w:pPr>
        <w:pStyle w:val="ListParagraph"/>
        <w:widowControl w:val="false"/>
        <w:numPr>
          <w:ilvl w:val="0"/>
          <w:numId w:val="0"/>
        </w:numPr>
        <w:shd w:val="clear" w:color="auto" w:fill="FFFFFF"/>
        <w:suppressAutoHyphens w:val="true"/>
        <w:spacing w:lineRule="auto" w:line="240" w:before="0" w:after="0"/>
        <w:ind w:hanging="0" w:left="0" w:right="-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bookmarkStart w:id="3" w:name="_Hlk215218194"/>
      <w:r>
        <w:rPr>
          <w:rFonts w:cs="Times New Roman" w:ascii="Times New Roman" w:hAnsi="Times New Roman"/>
          <w:sz w:val="24"/>
          <w:szCs w:val="24"/>
        </w:rPr>
        <w:t>Результати лабораторних досліджень (HbA1c) надаються онлайн (кабінет пацієнта в МІС, електронна пошта, інші канали комунікації) протягом ≤48 годин після забору, у форматі «світлофора» (зелений – норма, жовтий – граничні значення, червоний – патологічний стан + коротке пояснення) з короткими рекомендаціями.</w:t>
      </w:r>
    </w:p>
    <w:p>
      <w:pPr>
        <w:pStyle w:val="ListParagraph"/>
        <w:widowControl w:val="false"/>
        <w:numPr>
          <w:ilvl w:val="0"/>
          <w:numId w:val="0"/>
        </w:numPr>
        <w:shd w:val="clear" w:color="auto" w:fill="FFFFFF"/>
        <w:suppressAutoHyphens w:val="true"/>
        <w:spacing w:lineRule="auto" w:line="240" w:before="0" w:after="0"/>
        <w:ind w:hanging="0" w:left="0" w:right="-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Ведення документації: усі результати вносяться до електронної системи охорони здоров’я (далі – ЕСОЗ) відповідно до вимог законодавства. </w:t>
      </w:r>
    </w:p>
    <w:p>
      <w:pPr>
        <w:pStyle w:val="ListParagraph"/>
        <w:widowControl w:val="false"/>
        <w:shd w:val="clear" w:color="auto" w:fill="FFFFFF"/>
        <w:suppressAutoHyphens w:val="true"/>
        <w:spacing w:lineRule="auto" w:line="240" w:before="0" w:after="0"/>
        <w:ind w:left="0" w:right="-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Лабораторія зобов’язана негайно (не пізніше ніж через 30 хвилин від виявлення) повідомити лікаря телефоном та задокументувати в ЕСОЗ результати, що становлять безпосередню загрозу життю: калій у плазмі крові ≥6,5 ммоль/л або ≤2,5 ммоль/л; натрій ≤120 або ≥160 ммоль/л; глюкоза плазми ≥25 ммоль/л або ≤2,5 ммоль/л. Результати, що потребують термінової клінічної оцінки, але не належать до критичних, підлягають повідомленню лікаря та внесенню до ЕСОЗ у строк не пізніше 24 годин: TG ≥ 11,3 ммоль/л; eGFR &lt;30 мл/хв/1,73 м2; ACR ≥300 мг/г. Лікар зобов’язаний внести до ЕСОЗ інформацію про вжиті заходи, у тому числі здійснені шляхом консультування дистанційними методами звʼязку, у строк до 60 хвилин для критичних результатів та до 24 годин для термінових.</w:t>
      </w:r>
    </w:p>
    <w:p>
      <w:pPr>
        <w:pStyle w:val="ListParagraph"/>
        <w:widowControl w:val="false"/>
        <w:numPr>
          <w:ilvl w:val="0"/>
          <w:numId w:val="0"/>
        </w:numPr>
        <w:shd w:val="clear" w:color="auto" w:fill="FFFFFF"/>
        <w:suppressAutoHyphens w:val="true"/>
        <w:spacing w:lineRule="auto" w:line="240" w:before="0" w:after="0"/>
        <w:ind w:hanging="0" w:left="0" w:right="-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 xml:space="preserve">Лабораторні дослідження повинні виконуватися на обладнані учасника (виконавця), яке відповідає нормам чинного законодавства України, з використанням реактивів, реагентів, витратних матеріалів тощо, які відповідають вимогам технічного регламенту щодо медичних виробів </w:t>
      </w:r>
      <w:r>
        <w:rPr>
          <w:rFonts w:cs="Times New Roman" w:ascii="Times New Roman" w:hAnsi="Times New Roman"/>
          <w:spacing w:val="-1"/>
          <w:sz w:val="24"/>
          <w:szCs w:val="24"/>
        </w:rPr>
        <w:t>та діючим стандартам якості та дозволені у застосування в Україні</w:t>
      </w:r>
      <w:r>
        <w:rPr>
          <w:rFonts w:cs="Times New Roman" w:ascii="Times New Roman" w:hAnsi="Times New Roman"/>
          <w:b/>
          <w:spacing w:val="-1"/>
          <w:sz w:val="24"/>
          <w:szCs w:val="24"/>
        </w:rPr>
        <w:t>.</w:t>
      </w:r>
    </w:p>
    <w:p>
      <w:pPr>
        <w:pStyle w:val="ListParagraph"/>
        <w:widowControl w:val="false"/>
        <w:shd w:val="clear" w:color="auto" w:fill="FFFFFF"/>
        <w:suppressAutoHyphens w:val="true"/>
        <w:spacing w:lineRule="auto" w:line="240" w:before="0" w:after="0"/>
        <w:ind w:left="0" w:right="-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End w:id="3"/>
    </w:p>
    <w:p>
      <w:pPr>
        <w:pStyle w:val="ListParagraph"/>
        <w:spacing w:lineRule="auto" w:line="240" w:before="0" w:after="0"/>
        <w:ind w:left="0" w:right="-87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  <w:t>КІЛЬКІСНІ ВИМОГИ</w:t>
      </w:r>
    </w:p>
    <w:tbl>
      <w:tblPr>
        <w:tblW w:w="10196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73"/>
        <w:gridCol w:w="6315"/>
        <w:gridCol w:w="2133"/>
        <w:gridCol w:w="1275"/>
      </w:tblGrid>
      <w:tr>
        <w:trPr>
          <w:trHeight w:val="295" w:hRule="atLeast"/>
        </w:trPr>
        <w:tc>
          <w:tcPr>
            <w:tcW w:w="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6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Найменування</w:t>
            </w:r>
          </w:p>
        </w:tc>
        <w:tc>
          <w:tcPr>
            <w:tcW w:w="2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Одиниця виміру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Кількість</w:t>
            </w:r>
          </w:p>
        </w:tc>
      </w:tr>
      <w:tr>
        <w:trPr>
          <w:trHeight w:val="320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Ліпідограма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248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shd w:fill="auto" w:val="clear"/>
                <w:lang w:val="uk-UA"/>
              </w:rPr>
              <w:t>Глікований гемоглобін (HbA1c), % за NGSP (далі – HbA1c), з автоматичною конверсією у ммоль/моль за IFCC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223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shd w:fill="auto" w:val="clear"/>
                <w:lang w:val="uk-UA"/>
              </w:rPr>
              <w:t>Електроліти (Na)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214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shd w:fill="auto" w:val="clear"/>
                <w:lang w:val="uk-UA"/>
              </w:rPr>
              <w:t>Електроліти (K)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203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Загальний аналіз крові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320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Креатинін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283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  <w:lang w:val="uk-UA" w:eastAsia="uk-UA"/>
              </w:rPr>
              <w:t>Загальний аналіз сечі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  <w:lang w:val="en-US" w:eastAsia="uk-UA"/>
              </w:rPr>
              <w:t xml:space="preserve">+ 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  <w:shd w:fill="auto" w:val="clear"/>
                <w:lang w:val="uk-UA" w:eastAsia="uk-UA"/>
              </w:rPr>
              <w:t>мікроскопія (за потреби)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108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shd w:fill="auto" w:val="clear"/>
                <w:lang w:val="uk-UA"/>
              </w:rPr>
              <w:t xml:space="preserve">Співвідношення альбумін сечі/креатинін сечі, мг/г 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320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Сечова кислота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320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10</w:t>
            </w:r>
          </w:p>
        </w:tc>
        <w:tc>
          <w:tcPr>
            <w:tcW w:w="631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ALT</w:t>
            </w:r>
          </w:p>
        </w:tc>
        <w:tc>
          <w:tcPr>
            <w:tcW w:w="213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  <w:tr>
        <w:trPr>
          <w:trHeight w:val="121" w:hRule="atLeast"/>
        </w:trPr>
        <w:tc>
          <w:tcPr>
            <w:tcW w:w="4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6315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iCs/>
                <w:sz w:val="24"/>
                <w:szCs w:val="24"/>
                <w:shd w:fill="auto" w:val="clear"/>
                <w:lang w:val="uk-UA"/>
              </w:rPr>
              <w:t>Розрахункова швидкість клубочкової фільтрації (eGFR), визначена за формулою CKD-EPI 2021 (далі – eGFR), у мл/хв/1,73 м²</w:t>
            </w:r>
          </w:p>
        </w:tc>
        <w:tc>
          <w:tcPr>
            <w:tcW w:w="2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val="uk-UA" w:eastAsia="uk-UA"/>
              </w:rPr>
              <w:t>послуга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uk-UA" w:eastAsia="uk-UA"/>
              </w:rPr>
              <w:t>1500</w:t>
            </w:r>
          </w:p>
        </w:tc>
      </w:tr>
    </w:tbl>
    <w:p>
      <w:pPr>
        <w:pStyle w:val="ListParagraph"/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/>
        <w:contextualSpacing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cs="Times New Roman" w:ascii="Times New Roman" w:hAnsi="Times New Roman"/>
          <w:b/>
          <w:sz w:val="24"/>
          <w:szCs w:val="24"/>
          <w:u w:val="single"/>
          <w:lang w:eastAsia="ar-SA"/>
        </w:rPr>
      </w:r>
    </w:p>
    <w:p>
      <w:pPr>
        <w:pStyle w:val="ListParagraph"/>
        <w:spacing w:before="0" w:after="160"/>
        <w:ind w:firstLine="851" w:left="0"/>
        <w:contextualSpacing/>
        <w:jc w:val="both"/>
        <w:rPr>
          <w:highlight w:val="none"/>
          <w:shd w:fill="FFBF00" w:val="clear"/>
        </w:rPr>
      </w:pPr>
      <w:r>
        <w:rPr>
          <w:shd w:fill="FFBF00" w:val="clear"/>
        </w:rPr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libri-Bold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alibri Light">
    <w:charset w:val="cc"/>
    <w:family w:val="roman"/>
    <w:pitch w:val="variable"/>
  </w:font>
  <w:font w:name="Times New Roman">
    <w:charset w:val="01"/>
    <w:family w:val="roman"/>
    <w:pitch w:val="variable"/>
  </w:font>
  <w:font w:name="Open Sans">
    <w:altName w:val="Arial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81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08b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Style14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7">
    <w:name w:val="heading 7"/>
    <w:basedOn w:val="Normal"/>
    <w:qFormat/>
    <w:pPr>
      <w:keepNext w:val="true"/>
      <w:shd w:val="clear" w:fill="FFFFFF"/>
      <w:spacing w:lineRule="auto" w:line="240" w:before="0" w:after="0"/>
      <w:jc w:val="center"/>
      <w:outlineLvl w:val="6"/>
    </w:pPr>
    <w:rPr>
      <w:rFonts w:ascii="Times New Roman" w:hAnsi="Times New Roman" w:eastAsia="Times New Roman" w:cs="Times New Roman"/>
      <w:spacing w:val="-1"/>
      <w:sz w:val="28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Без интервала Знак"/>
    <w:link w:val="NoSpacing"/>
    <w:qFormat/>
    <w:locked/>
    <w:rsid w:val="00386cdb"/>
    <w:rPr>
      <w:rFonts w:ascii="Calibri" w:hAnsi="Calibri" w:eastAsia="Calibri"/>
    </w:rPr>
  </w:style>
  <w:style w:type="character" w:styleId="rvts0" w:customStyle="1">
    <w:name w:val="rvts0"/>
    <w:qFormat/>
    <w:rsid w:val="007e64c1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644a45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44a45"/>
    <w:rPr>
      <w:color w:val="605E5C"/>
      <w:shd w:fill="E1DFDD" w:val="clear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53311"/>
    <w:rPr>
      <w:rFonts w:ascii="Segoe UI" w:hAnsi="Segoe UI" w:cs="Segoe UI"/>
      <w:sz w:val="18"/>
      <w:szCs w:val="18"/>
    </w:rPr>
  </w:style>
  <w:style w:type="character" w:styleId="A1" w:customStyle="1">
    <w:name w:val="A1"/>
    <w:uiPriority w:val="99"/>
    <w:qFormat/>
    <w:rsid w:val="00a734a8"/>
    <w:rPr>
      <w:color w:val="211D1E"/>
      <w:sz w:val="12"/>
      <w:szCs w:val="12"/>
    </w:rPr>
  </w:style>
  <w:style w:type="character" w:styleId="Strong">
    <w:name w:val="Strong"/>
    <w:basedOn w:val="DefaultParagraphFont"/>
    <w:uiPriority w:val="22"/>
    <w:qFormat/>
    <w:rsid w:val="002f4fa0"/>
    <w:rPr>
      <w:b/>
      <w:bCs/>
    </w:rPr>
  </w:style>
  <w:style w:type="character" w:styleId="fontstyle01">
    <w:name w:val="fontstyle01"/>
    <w:qFormat/>
    <w:rPr>
      <w:rFonts w:ascii="Calibri-Bold" w:hAnsi="Calibri-Bold" w:cs="Times New Roman"/>
      <w:b/>
      <w:bCs/>
      <w:color w:val="233E98"/>
      <w:sz w:val="72"/>
      <w:szCs w:val="72"/>
    </w:rPr>
  </w:style>
  <w:style w:type="character" w:styleId="1">
    <w:name w:val="Шрифт абзацу за замовчуванням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NoSpacing">
    <w:name w:val="No Spacing"/>
    <w:link w:val="Style12"/>
    <w:qFormat/>
    <w:rsid w:val="00386cdb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unhideWhenUsed/>
    <w:qFormat/>
    <w:rsid w:val="008f487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qFormat/>
    <w:rsid w:val="003a757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5331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a4" w:customStyle="1">
    <w:name w:val="Pa4"/>
    <w:basedOn w:val="Normal"/>
    <w:next w:val="Normal"/>
    <w:uiPriority w:val="99"/>
    <w:qFormat/>
    <w:rsid w:val="00a734a8"/>
    <w:pPr>
      <w:spacing w:lineRule="atLeast" w:line="241" w:before="0" w:after="0"/>
    </w:pPr>
    <w:rPr>
      <w:rFonts w:ascii="Arial" w:hAnsi="Arial" w:cs="Arial"/>
      <w:sz w:val="24"/>
      <w:szCs w:val="24"/>
    </w:rPr>
  </w:style>
  <w:style w:type="paragraph" w:styleId="Pa3" w:customStyle="1">
    <w:name w:val="Pa3"/>
    <w:basedOn w:val="Normal"/>
    <w:next w:val="Normal"/>
    <w:uiPriority w:val="99"/>
    <w:qFormat/>
    <w:rsid w:val="00a734a8"/>
    <w:pPr>
      <w:spacing w:lineRule="atLeast" w:line="121" w:before="0" w:after="0"/>
    </w:pPr>
    <w:rPr>
      <w:rFonts w:ascii="Arial" w:hAnsi="Arial" w:cs="Arial"/>
      <w:sz w:val="24"/>
      <w:szCs w:val="24"/>
    </w:rPr>
  </w:style>
  <w:style w:type="paragraph" w:styleId="Pa1" w:customStyle="1">
    <w:name w:val="Pa1"/>
    <w:basedOn w:val="Normal"/>
    <w:next w:val="Normal"/>
    <w:uiPriority w:val="99"/>
    <w:qFormat/>
    <w:rsid w:val="00a734a8"/>
    <w:pPr>
      <w:spacing w:lineRule="atLeast" w:line="121" w:before="0" w:after="0"/>
    </w:pPr>
    <w:rPr>
      <w:rFonts w:ascii="Arial" w:hAnsi="Arial" w:cs="Arial"/>
      <w:sz w:val="24"/>
      <w:szCs w:val="24"/>
    </w:rPr>
  </w:style>
  <w:style w:type="paragraph" w:styleId="Standard" w:customStyle="1">
    <w:name w:val="Standard"/>
    <w:qFormat/>
    <w:rsid w:val="00fa0e2a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libri Light" w:hAnsi="Calibri Light" w:eastAsia="Times New Roman"/>
      <w:spacing w:val="-10"/>
      <w:kern w:val="2"/>
      <w:sz w:val="56"/>
      <w:szCs w:val="56"/>
    </w:rPr>
  </w:style>
  <w:style w:type="paragraph" w:styleId="11">
    <w:name w:val="Цитата1"/>
    <w:basedOn w:val="Normal"/>
    <w:qFormat/>
    <w:pPr>
      <w:suppressAutoHyphens w:val="true"/>
      <w:spacing w:lineRule="auto" w:line="240" w:before="0" w:after="0"/>
      <w:ind w:firstLine="436" w:left="284" w:right="-58"/>
      <w:jc w:val="both"/>
    </w:pPr>
    <w:rPr>
      <w:rFonts w:ascii="Times New Roman" w:hAnsi="Times New Roman" w:eastAsia="Times New Roman"/>
      <w:sz w:val="24"/>
      <w:lang w:val="ru-RU" w:eastAsia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/>
      <w:contextualSpacing/>
    </w:pPr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6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і (user)"/>
    <w:basedOn w:val="user3"/>
    <w:qFormat/>
    <w:pPr>
      <w:suppressLineNumbers/>
      <w:jc w:val="center"/>
    </w:pPr>
    <w:rPr>
      <w:b/>
      <w:bCs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c646c7"/>
    <w:pPr>
      <w:spacing w:after="0" w:line="240" w:lineRule="auto"/>
    </w:pPr>
    <w:rPr>
      <w:lang w:val="uk-UA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646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oliklinika20@ukr.net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B8248-3446-4E73-A62E-2C402615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Application>LibreOffice/26.2.5.2$Windows_X86_64 LibreOffice_project/cd7284b4cbbfeb507e630c1aac019f4157393acb</Application>
  <AppVersion>15.0000</AppVersion>
  <Pages>5</Pages>
  <Words>1675</Words>
  <Characters>11810</Characters>
  <CharactersWithSpaces>13533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2025-11-08T08:24:00Z</dcterms:created>
  <dc:creator>Svetlana Kud</dc:creator>
  <dc:description/>
  <dc:language>uk-UA</dc:language>
  <cp:lastModifiedBy/>
  <cp:lastPrinted>2026-01-15T10:51:00Z</cp:lastPrinted>
  <dcterms:modified xsi:type="dcterms:W3CDTF">2026-08-12T15:54:46Z</dcterms:modified>
  <cp:revision>1139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