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color w:val="000000"/>
        </w:rPr>
      </w:pPr>
      <w:bookmarkStart w:id="0" w:name="_GoBack_копія_1"/>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color w:val="000000"/>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color w:val="000000"/>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eastAsia="Calibri" w:cs="Times New Roman" w:ascii="Times New Roman" w:hAnsi="Times New Roman"/>
          <w:b/>
          <w:bCs/>
          <w:iCs/>
          <w:color w:val="000000"/>
          <w:sz w:val="24"/>
          <w:szCs w:val="24"/>
          <w:highlight w:val="white"/>
          <w:lang w:val="uk-UA" w:eastAsia="uk-UA"/>
        </w:rPr>
        <w:t xml:space="preserve">Реактиви для аналізів крові </w:t>
      </w:r>
      <w:r>
        <w:rPr>
          <w:rFonts w:eastAsia="Calibri" w:cs="Times New Roman" w:ascii="Times New Roman" w:hAnsi="Times New Roman"/>
          <w:b/>
          <w:bCs/>
          <w:i w:val="false"/>
          <w:iCs/>
          <w:color w:val="000000"/>
          <w:sz w:val="24"/>
          <w:szCs w:val="24"/>
          <w:u w:val="none"/>
          <w:lang w:val="uk-UA" w:eastAsia="uk-UA"/>
        </w:rPr>
        <w:t>ДК 021:2015: 33690000-3 Лікарські засоби різні</w:t>
      </w:r>
      <w:r>
        <w:rPr>
          <w:rFonts w:cs="Times New Roman" w:ascii="Times New Roman" w:hAnsi="Times New Roman"/>
          <w:b/>
          <w:bCs/>
          <w:i/>
          <w:iCs/>
          <w:color w:val="000000"/>
          <w:sz w:val="24"/>
          <w:szCs w:val="24"/>
          <w:lang w:eastAsia="uk-UA"/>
        </w:rPr>
        <w:t xml:space="preserve">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color w:val="000000"/>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color w:val="000000"/>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b/>
          <w:bCs/>
          <w:color w:val="000000"/>
          <w:sz w:val="24"/>
          <w:szCs w:val="24"/>
          <w:lang w:eastAsia="uk-UA"/>
        </w:rPr>
        <w:t xml:space="preserve"> </w:t>
      </w:r>
      <w:r>
        <w:rPr>
          <w:rFonts w:eastAsia="Calibri" w:cs="Times New Roman" w:ascii="Times New Roman" w:hAnsi="Times New Roman"/>
          <w:b/>
          <w:bCs/>
          <w:iCs/>
          <w:color w:val="000000"/>
          <w:sz w:val="24"/>
          <w:szCs w:val="24"/>
          <w:highlight w:val="white"/>
          <w:lang w:val="uk-UA" w:eastAsia="uk-UA"/>
        </w:rPr>
        <w:t xml:space="preserve">Реактиви для аналізів крові </w:t>
      </w:r>
      <w:r>
        <w:rPr>
          <w:rFonts w:eastAsia="Calibri" w:cs="Times New Roman" w:ascii="Times New Roman" w:hAnsi="Times New Roman"/>
          <w:b/>
          <w:bCs/>
          <w:i w:val="false"/>
          <w:iCs/>
          <w:color w:val="000000"/>
          <w:sz w:val="24"/>
          <w:szCs w:val="24"/>
          <w:u w:val="none"/>
          <w:lang w:val="uk-UA" w:eastAsia="uk-UA"/>
        </w:rPr>
        <w:t>ДК 021:2015: 33690000-3 Лікарські засоби різні</w:t>
      </w:r>
      <w:r>
        <w:rPr>
          <w:rFonts w:cs="Times New Roman" w:ascii="Times New Roman" w:hAnsi="Times New Roman"/>
          <w:b/>
          <w:bCs/>
          <w:i/>
          <w:iCs/>
          <w:color w:val="000000"/>
          <w:sz w:val="24"/>
          <w:szCs w:val="24"/>
          <w:lang w:eastAsia="uk-UA"/>
        </w:rPr>
        <w:t xml:space="preserve"> </w:t>
      </w:r>
    </w:p>
    <w:p>
      <w:pPr>
        <w:pStyle w:val="Normal"/>
        <w:jc w:val="both"/>
        <w:rPr>
          <w:color w:val="000000"/>
        </w:rPr>
      </w:pPr>
      <w:r>
        <w:rPr>
          <w:rFonts w:eastAsia="Times New Roman" w:ascii="Times New Roman" w:hAnsi="Times New Roman"/>
          <w:b/>
          <w:bCs/>
          <w:color w:val="000000"/>
          <w:sz w:val="24"/>
          <w:szCs w:val="24"/>
          <w:lang w:eastAsia="uk-UA"/>
        </w:rPr>
        <w:t> </w:t>
      </w: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rFonts w:ascii="Times New Roman" w:hAnsi="Times New Roman"/>
          <w:b/>
          <w:bCs/>
          <w:color w:val="000000"/>
          <w:sz w:val="24"/>
          <w:szCs w:val="24"/>
          <w:u w:val="single"/>
          <w:shd w:fill="F0F5F2" w:val="clear"/>
          <w:lang w:eastAsia="uk-UA"/>
        </w:rPr>
      </w:pPr>
      <w:r>
        <w:rPr>
          <w:rFonts w:ascii="Times New Roman" w:hAnsi="Times New Roman"/>
          <w:b/>
          <w:bCs/>
          <w:caps w:val="false"/>
          <w:smallCaps w:val="false"/>
          <w:color w:val="555555"/>
          <w:spacing w:val="0"/>
          <w:sz w:val="24"/>
          <w:szCs w:val="24"/>
          <w:u w:val="single"/>
          <w:shd w:fill="F0F5F2" w:val="clear"/>
          <w:lang w:eastAsia="uk-UA"/>
        </w:rPr>
        <w:t> </w:t>
      </w:r>
      <w:bookmarkStart w:id="1" w:name="selectable"/>
      <w:bookmarkEnd w:id="1"/>
      <w:r>
        <w:rPr>
          <w:rFonts w:ascii="Times New Roman" w:hAnsi="Times New Roman"/>
          <w:b/>
          <w:bCs/>
          <w:i w:val="false"/>
          <w:caps w:val="false"/>
          <w:smallCaps w:val="false"/>
          <w:color w:val="555555"/>
          <w:spacing w:val="0"/>
          <w:sz w:val="24"/>
          <w:szCs w:val="24"/>
          <w:u w:val="single"/>
          <w:shd w:fill="F0F5F2" w:val="clear"/>
          <w:lang w:eastAsia="uk-UA"/>
        </w:rPr>
        <w:t>UA-2026-02-03-012430-a</w:t>
      </w:r>
      <w:r>
        <w:rPr>
          <w:rFonts w:ascii="Times New Roman" w:hAnsi="Times New Roman"/>
          <w:b/>
          <w:bCs/>
          <w:color w:val="000000"/>
          <w:sz w:val="24"/>
          <w:szCs w:val="24"/>
          <w:u w:val="single"/>
          <w:shd w:fill="F0F5F2" w:val="clear"/>
          <w:lang w:eastAsia="uk-UA"/>
        </w:rPr>
        <w:t xml:space="preserve"> </w:t>
      </w:r>
    </w:p>
    <w:p>
      <w:pPr>
        <w:pStyle w:val="Normal"/>
        <w:jc w:val="both"/>
        <w:rPr>
          <w:rFonts w:ascii="Times New Roman" w:hAnsi="Times New Roman"/>
          <w:b/>
          <w:bCs/>
          <w:color w:val="000000"/>
          <w:sz w:val="24"/>
          <w:szCs w:val="24"/>
          <w:u w:val="single"/>
          <w:shd w:fill="F0F5F2" w:val="clear"/>
          <w:lang w:eastAsia="uk-UA"/>
        </w:rPr>
      </w:pPr>
      <w:r>
        <w:rPr>
          <w:rFonts w:ascii="Times New Roman" w:hAnsi="Times New Roman"/>
          <w:b/>
          <w:bCs/>
          <w:color w:val="000000"/>
          <w:sz w:val="24"/>
          <w:szCs w:val="24"/>
          <w:u w:val="single"/>
          <w:shd w:fill="F0F5F2" w:val="clear"/>
          <w:lang w:eastAsia="uk-UA"/>
        </w:rPr>
      </w:r>
    </w:p>
    <w:p>
      <w:pPr>
        <w:pStyle w:val="Normal"/>
        <w:jc w:val="both"/>
        <w:rPr>
          <w:color w:val="000000"/>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color w:val="000000"/>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r>
        <w:rPr>
          <w:rFonts w:eastAsia="Times New Roman" w:cs="Times New Roman" w:ascii="Times New Roman" w:hAnsi="Times New Roman"/>
          <w:b/>
          <w:bCs/>
          <w:i/>
          <w:iCs/>
          <w:color w:val="800080"/>
          <w:sz w:val="24"/>
          <w:szCs w:val="24"/>
          <w:highlight w:val="white"/>
          <w:u w:val="none"/>
          <w:lang w:val="uk-UA" w:eastAsia="uk-UA"/>
        </w:rPr>
        <w:t xml:space="preserve"> </w:t>
      </w:r>
      <w:r>
        <w:rPr>
          <w:rFonts w:ascii="Times New Roman" w:hAnsi="Times New Roman"/>
          <w:b/>
          <w:bCs/>
          <w:i w:val="false"/>
          <w:caps w:val="false"/>
          <w:smallCaps w:val="false"/>
          <w:color w:val="000000"/>
          <w:spacing w:val="0"/>
          <w:sz w:val="24"/>
          <w:szCs w:val="24"/>
        </w:rPr>
        <w:t>647 608</w:t>
      </w:r>
      <w:r>
        <w:rPr>
          <w:rFonts w:ascii="Times New Roman" w:hAnsi="Times New Roman"/>
          <w:b/>
          <w:bCs/>
          <w:color w:val="000000"/>
          <w:sz w:val="24"/>
          <w:szCs w:val="24"/>
        </w:rPr>
        <w:t xml:space="preserve"> </w:t>
      </w:r>
      <w:r>
        <w:rPr>
          <w:rFonts w:eastAsia="Times New Roman" w:cs="Times New Roman" w:ascii="Times New Roman" w:hAnsi="Times New Roman"/>
          <w:b/>
          <w:bCs/>
          <w:i w:val="false"/>
          <w:iCs w:val="false"/>
          <w:color w:val="000000"/>
          <w:sz w:val="24"/>
          <w:szCs w:val="24"/>
          <w:highlight w:val="white"/>
          <w:u w:val="none"/>
          <w:lang w:val="uk-UA" w:eastAsia="uk-UA"/>
        </w:rPr>
        <w:t>,00</w:t>
      </w:r>
      <w:r>
        <w:rPr>
          <w:rFonts w:eastAsia="Times New Roman" w:cs="Times New Roman" w:ascii="Times New Roman" w:hAnsi="Times New Roman"/>
          <w:b/>
          <w:bCs/>
          <w:i w:val="false"/>
          <w:iCs w:val="false"/>
          <w:color w:val="000000"/>
          <w:sz w:val="24"/>
          <w:szCs w:val="24"/>
          <w:highlight w:val="white"/>
          <w:u w:val="none"/>
          <w:lang w:val="uk-UA" w:eastAsia="uk-UA"/>
        </w:rPr>
        <w:t xml:space="preserve"> </w:t>
      </w:r>
      <w:r>
        <w:rPr>
          <w:rFonts w:ascii="Times New Roman" w:hAnsi="Times New Roman"/>
          <w:i w:val="false"/>
          <w:iCs w:val="false"/>
          <w:color w:val="000000"/>
          <w:sz w:val="24"/>
          <w:szCs w:val="24"/>
          <w:u w:val="none"/>
          <w:lang w:eastAsia="uk-UA"/>
        </w:rPr>
        <w:t>грн з ПДВ</w:t>
      </w:r>
    </w:p>
    <w:p>
      <w:pPr>
        <w:pStyle w:val="1"/>
        <w:tabs>
          <w:tab w:val="clear" w:pos="708"/>
          <w:tab w:val="left" w:pos="0" w:leader="none"/>
        </w:tabs>
        <w:ind w:hanging="0" w:left="0" w:right="-79"/>
        <w:rPr>
          <w:color w:val="000000"/>
        </w:rPr>
      </w:pPr>
      <w:r>
        <w:rPr>
          <w:color w:val="000000"/>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u w:val="none"/>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 xml:space="preserve">Джерело фінансування: власний бюджет (кошти від господарської діяльності підприємства) </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Normal"/>
              <w:spacing w:lineRule="auto" w:line="240" w:before="0" w:after="0"/>
              <w:jc w:val="both"/>
              <w:rPr>
                <w:color w:val="000000"/>
              </w:rPr>
            </w:pPr>
            <w:r>
              <w:rPr>
                <w:rFonts w:ascii="Times New Roman" w:hAnsi="Times New Roman"/>
                <w:caps w:val="false"/>
                <w:smallCaps w:val="false"/>
                <w:color w:val="000000"/>
                <w:spacing w:val="0"/>
              </w:rPr>
              <w:t>647 608</w:t>
            </w:r>
            <w:r>
              <w:rPr>
                <w:rFonts w:ascii="Times New Roman" w:hAnsi="Times New Roman"/>
                <w:color w:val="000000"/>
              </w:rPr>
              <w:t xml:space="preserve"> </w:t>
            </w:r>
            <w:r>
              <w:rPr>
                <w:rFonts w:ascii="Times New Roman" w:hAnsi="Times New Roman"/>
                <w:color w:val="000000"/>
              </w:rPr>
              <w:t>,00</w:t>
            </w:r>
          </w:p>
        </w:tc>
      </w:tr>
    </w:tbl>
    <w:p>
      <w:pPr>
        <w:pStyle w:val="1"/>
        <w:tabs>
          <w:tab w:val="clear" w:pos="708"/>
          <w:tab w:val="left" w:pos="0" w:leader="none"/>
        </w:tabs>
        <w:ind w:hanging="0" w:left="0" w:right="-79"/>
        <w:rPr>
          <w:color w:val="000000"/>
        </w:rPr>
      </w:pPr>
      <w:r>
        <w:rPr>
          <w:b/>
          <w:bCs/>
          <w:color w:val="000000"/>
          <w:szCs w:val="24"/>
          <w:lang w:eastAsia="uk-UA"/>
        </w:rPr>
        <w:t>Обґрунтування якісних та технічних характеристик. </w:t>
      </w:r>
      <w:r>
        <w:rPr>
          <w:bCs/>
          <w:color w:val="000000"/>
          <w:szCs w:val="24"/>
          <w:lang w:eastAsia="uk-UA"/>
        </w:rPr>
        <w:t xml:space="preserve">Строк </w:t>
      </w:r>
      <w:r>
        <w:rPr>
          <w:bCs/>
          <w:color w:val="000000"/>
          <w:szCs w:val="24"/>
          <w:lang w:val="uk-UA" w:eastAsia="uk-UA"/>
        </w:rPr>
        <w:t>поставки товару</w:t>
      </w:r>
      <w:r>
        <w:rPr>
          <w:bCs/>
          <w:color w:val="000000"/>
          <w:szCs w:val="24"/>
          <w:lang w:eastAsia="uk-UA"/>
        </w:rPr>
        <w:t>:</w:t>
      </w:r>
      <w:r>
        <w:rPr>
          <w:i/>
          <w:iCs/>
          <w:color w:val="000000"/>
          <w:szCs w:val="24"/>
          <w:lang w:eastAsia="uk-UA"/>
        </w:rPr>
        <w:t xml:space="preserve"> </w:t>
      </w:r>
      <w:r>
        <w:rPr>
          <w:color w:val="000000"/>
          <w:szCs w:val="24"/>
          <w:lang w:eastAsia="uk-UA"/>
        </w:rPr>
        <w:t> </w:t>
      </w:r>
      <w:r>
        <w:rPr>
          <w:b/>
          <w:bCs/>
          <w:color w:val="000000"/>
          <w:szCs w:val="24"/>
          <w:lang w:eastAsia="uk-UA"/>
        </w:rPr>
        <w:t xml:space="preserve">до </w:t>
      </w:r>
      <w:r>
        <w:rPr>
          <w:b/>
          <w:bCs/>
          <w:color w:val="000000"/>
          <w:szCs w:val="24"/>
          <w:lang w:val="uk-UA" w:eastAsia="uk-UA"/>
        </w:rPr>
        <w:t xml:space="preserve">31 грудня </w:t>
      </w:r>
      <w:r>
        <w:rPr>
          <w:b/>
          <w:bCs/>
          <w:color w:val="000000"/>
          <w:szCs w:val="24"/>
          <w:lang w:eastAsia="uk-UA"/>
        </w:rPr>
        <w:t>202</w:t>
      </w:r>
      <w:r>
        <w:rPr>
          <w:b/>
          <w:bCs/>
          <w:color w:val="000000"/>
          <w:szCs w:val="24"/>
          <w:lang w:val="uk-UA" w:eastAsia="uk-UA"/>
        </w:rPr>
        <w:t>6</w:t>
      </w:r>
      <w:r>
        <w:rPr>
          <w:b/>
          <w:bCs/>
          <w:color w:val="000000"/>
          <w:szCs w:val="24"/>
          <w:lang w:eastAsia="uk-UA"/>
        </w:rPr>
        <w:t xml:space="preserve"> року.</w:t>
      </w:r>
    </w:p>
    <w:p>
      <w:pPr>
        <w:pStyle w:val="Normal"/>
        <w:tabs>
          <w:tab w:val="clear" w:pos="708"/>
          <w:tab w:val="left" w:pos="2835" w:leader="none"/>
        </w:tabs>
        <w:spacing w:lineRule="auto" w:line="276"/>
        <w:ind w:left="2832" w:right="283"/>
        <w:jc w:val="right"/>
        <w:rPr>
          <w:rFonts w:ascii="Times New Roman" w:hAnsi="Times New Roman"/>
        </w:rPr>
      </w:pPr>
      <w:r>
        <w:rPr>
          <w:rFonts w:ascii="Times New Roman" w:hAnsi="Times New Roman"/>
        </w:rPr>
      </w:r>
    </w:p>
    <w:p>
      <w:pPr>
        <w:pStyle w:val="Normal"/>
        <w:suppressAutoHyphens w:val="false"/>
        <w:jc w:val="center"/>
        <w:rPr>
          <w:rFonts w:ascii="Times New Roman" w:hAnsi="Times New Roman" w:eastAsia="Tahoma"/>
          <w:b/>
          <w:bCs/>
          <w:sz w:val="24"/>
          <w:szCs w:val="24"/>
          <w:lang w:eastAsia="zh-CN" w:bidi="hi-IN"/>
        </w:rPr>
      </w:pPr>
      <w:r>
        <w:rPr>
          <w:rFonts w:eastAsia="Tahoma" w:ascii="Times New Roman" w:hAnsi="Times New Roman"/>
          <w:b/>
          <w:bCs/>
          <w:sz w:val="24"/>
          <w:szCs w:val="24"/>
          <w:lang w:val="uk-UA" w:eastAsia="zh-CN" w:bidi="hi-IN"/>
        </w:rPr>
        <w:t xml:space="preserve">      </w:t>
      </w:r>
      <w:r>
        <w:rPr>
          <w:rFonts w:eastAsia="Tahoma" w:ascii="Times New Roman" w:hAnsi="Times New Roman"/>
          <w:b/>
          <w:bCs/>
          <w:sz w:val="24"/>
          <w:szCs w:val="24"/>
          <w:lang w:eastAsia="zh-CN" w:bidi="hi-IN"/>
        </w:rPr>
        <w:t>Інформація про необхідні технічні, якісні та кількісні характеристики предмета закупівлі,  в тому числі документи, які повинен надати учасник для підтвердження відповідності</w:t>
      </w:r>
      <w:r>
        <w:rPr>
          <w:rFonts w:eastAsia="Times New Roman" w:ascii="Times New Roman" w:hAnsi="Times New Roman"/>
          <w:b/>
          <w:bCs/>
          <w:sz w:val="24"/>
          <w:szCs w:val="24"/>
          <w:lang w:eastAsia="zh-CN" w:bidi="hi-IN"/>
        </w:rPr>
        <w:t xml:space="preserve">  </w:t>
      </w:r>
      <w:r>
        <w:rPr>
          <w:rFonts w:eastAsia="Tahoma" w:ascii="Times New Roman" w:hAnsi="Times New Roman"/>
          <w:b/>
          <w:bCs/>
          <w:sz w:val="24"/>
          <w:szCs w:val="24"/>
          <w:lang w:eastAsia="zh-CN" w:bidi="hi-IN"/>
        </w:rPr>
        <w:t>з   зазначеним характеристик</w:t>
      </w:r>
    </w:p>
    <w:p>
      <w:pPr>
        <w:pStyle w:val="Normal"/>
        <w:suppressAutoHyphens w:val="true"/>
        <w:spacing w:lineRule="auto" w:line="240" w:before="0" w:after="0"/>
        <w:ind w:left="5660"/>
        <w:jc w:val="right"/>
        <w:rPr>
          <w:rFonts w:ascii="Times New Roman" w:hAnsi="Times New Roman" w:eastAsia="Times New Roman" w:cs="Times New Roman"/>
          <w:sz w:val="24"/>
          <w:szCs w:val="24"/>
          <w:lang w:val="uk-UA" w:eastAsia="uk-UA"/>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ind w:left="5660"/>
        <w:jc w:val="right"/>
        <w:rPr>
          <w:rFonts w:ascii="Times New Roman" w:hAnsi="Times New Roman" w:eastAsia="Times New Roman" w:cs="Times New Roman"/>
          <w:sz w:val="24"/>
          <w:szCs w:val="24"/>
          <w:lang w:val="uk-UA" w:eastAsia="uk-UA"/>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p>
      <w:pPr>
        <w:pStyle w:val="Normal"/>
        <w:suppressAutoHyphens w:val="true"/>
        <w:spacing w:lineRule="auto" w:line="240" w:before="0" w:after="0"/>
        <w:jc w:val="center"/>
        <w:rPr>
          <w:rFonts w:ascii="Times New Roman" w:hAnsi="Times New Roman" w:eastAsia="Times New Roman" w:cs="Times New Roman"/>
          <w:b/>
          <w:sz w:val="24"/>
          <w:szCs w:val="24"/>
          <w:lang w:val="uk-UA" w:eastAsia="uk-UA"/>
        </w:rPr>
      </w:pPr>
      <w:r>
        <w:rPr>
          <w:rFonts w:eastAsia="Times New Roman" w:cs="Times New Roman" w:ascii="Times New Roman" w:hAnsi="Times New Roman"/>
          <w:b/>
          <w:sz w:val="24"/>
          <w:szCs w:val="24"/>
          <w:highlight w:val="white"/>
          <w:lang w:val="uk-UA" w:eastAsia="uk-UA"/>
        </w:rPr>
        <w:t>ТЕХНІЧНА СПЕЦИФІКАЦІЯ</w:t>
      </w:r>
    </w:p>
    <w:p>
      <w:pPr>
        <w:pStyle w:val="Normal"/>
        <w:suppressAutoHyphens w:val="true"/>
        <w:spacing w:lineRule="auto" w:line="240" w:before="0" w:after="0"/>
        <w:jc w:val="center"/>
        <w:rPr>
          <w:rFonts w:ascii="Times New Roman" w:hAnsi="Times New Roman" w:eastAsia="Times New Roman" w:cs="Times New Roman"/>
          <w:b/>
          <w:sz w:val="24"/>
          <w:szCs w:val="24"/>
          <w:lang w:val="uk-UA" w:eastAsia="uk-UA"/>
        </w:rPr>
      </w:pPr>
      <w:r>
        <w:rPr>
          <w:rFonts w:eastAsia="Times New Roman" w:cs="Times New Roman" w:ascii="Times New Roman" w:hAnsi="Times New Roman"/>
          <w:b/>
          <w:sz w:val="24"/>
          <w:szCs w:val="24"/>
          <w:lang w:val="uk-UA" w:eastAsia="uk-UA"/>
        </w:rPr>
      </w:r>
    </w:p>
    <w:p>
      <w:pPr>
        <w:pStyle w:val="Normal"/>
        <w:suppressAutoHyphens w:val="true"/>
        <w:spacing w:lineRule="auto" w:line="240" w:before="0" w:after="0"/>
        <w:jc w:val="center"/>
        <w:rPr>
          <w:rFonts w:ascii="Times New Roman" w:hAnsi="Times New Roman" w:eastAsia="Calibri" w:cs="Times New Roman"/>
          <w:b/>
          <w:bCs/>
          <w:iCs/>
          <w:sz w:val="24"/>
          <w:szCs w:val="24"/>
          <w:lang w:val="uk-UA" w:eastAsia="uk-UA"/>
        </w:rPr>
      </w:pPr>
      <w:r>
        <w:rPr>
          <w:rFonts w:eastAsia="Calibri" w:cs="Times New Roman" w:ascii="Times New Roman" w:hAnsi="Times New Roman"/>
          <w:b/>
          <w:bCs/>
          <w:iCs/>
          <w:sz w:val="24"/>
          <w:szCs w:val="24"/>
          <w:lang w:val="uk-UA" w:eastAsia="uk-UA"/>
        </w:rPr>
        <w:t>ДК 021:2015: 33690000-3 Лікарські засоби різні</w:t>
      </w:r>
    </w:p>
    <w:p>
      <w:pPr>
        <w:pStyle w:val="Normal"/>
        <w:suppressAutoHyphens w:val="true"/>
        <w:spacing w:lineRule="auto" w:line="240" w:before="0" w:after="0"/>
        <w:jc w:val="center"/>
        <w:rPr>
          <w:rFonts w:ascii="Times New Roman" w:hAnsi="Times New Roman" w:eastAsia="Calibri" w:cs="Times New Roman"/>
          <w:b/>
          <w:bCs/>
          <w:iCs/>
          <w:sz w:val="24"/>
          <w:szCs w:val="24"/>
          <w:lang w:val="uk-UA" w:eastAsia="uk-UA"/>
        </w:rPr>
      </w:pPr>
      <w:r>
        <w:rPr>
          <w:rFonts w:eastAsia="Calibri" w:cs="Times New Roman" w:ascii="Times New Roman" w:hAnsi="Times New Roman"/>
          <w:b/>
          <w:bCs/>
          <w:iCs/>
          <w:sz w:val="24"/>
          <w:szCs w:val="24"/>
          <w:lang w:val="uk-UA" w:eastAsia="uk-UA"/>
        </w:rPr>
      </w:r>
    </w:p>
    <w:p>
      <w:pPr>
        <w:pStyle w:val="Normal"/>
        <w:suppressAutoHyphens w:val="true"/>
        <w:spacing w:lineRule="auto" w:line="240" w:before="0" w:after="0"/>
        <w:jc w:val="both"/>
        <w:rPr>
          <w:iCs/>
        </w:rPr>
      </w:pPr>
      <w:r>
        <w:rPr>
          <w:rFonts w:eastAsia="Times New Roman" w:cs="Times New Roman" w:ascii="Times New Roman" w:hAnsi="Times New Roman"/>
          <w:iCs/>
          <w:sz w:val="24"/>
          <w:szCs w:val="24"/>
          <w:lang w:val="uk-UA" w:eastAsia="uk-UA"/>
        </w:rPr>
        <w:t xml:space="preserve">1. З метою запобігання закупівлі фальсифікатів та отримання гарантій на своєчасне постачання товару у кількості та якості, яких вимагає ця документація, надати оригінали гарантійних листів виробників або їх офіційних представників (якщо їх повноваження поширюються на територію України), якими підтверджується те, що Учасник має можливість поставки запропонованого товару для потреб Замовника у відповідній до вимог цієї документації, кількості, якості та у встановлені терміни. Гарантійний лист виробника повинен містити посилання на повну назву учасника, номер оголошення та номер офіційного видання з питань державних закупівель, де оприлюднене це оголошення, а </w:t>
      </w:r>
      <w:r>
        <w:rPr>
          <w:rFonts w:eastAsia="Times New Roman" w:cs="Times New Roman" w:ascii="Times New Roman" w:hAnsi="Times New Roman"/>
          <w:iCs/>
          <w:sz w:val="22"/>
          <w:szCs w:val="22"/>
          <w:lang w:val="uk-UA" w:eastAsia="uk-UA"/>
        </w:rPr>
        <w:t>також назву предмету закупівлі згідно з оголошенням.</w:t>
      </w:r>
    </w:p>
    <w:p>
      <w:pPr>
        <w:pStyle w:val="Normal"/>
        <w:suppressAutoHyphens w:val="true"/>
        <w:spacing w:lineRule="auto" w:line="240" w:before="0" w:after="0"/>
        <w:jc w:val="both"/>
        <w:rPr>
          <w:rFonts w:ascii="Times New Roman" w:hAnsi="Times New Roman"/>
          <w:sz w:val="22"/>
          <w:szCs w:val="22"/>
        </w:rPr>
      </w:pPr>
      <w:r>
        <w:rPr>
          <w:rFonts w:eastAsia="Times New Roman" w:ascii="Times New Roman" w:hAnsi="Times New Roman"/>
          <w:sz w:val="22"/>
          <w:szCs w:val="22"/>
        </w:rPr>
        <w:t xml:space="preserve">2. </w:t>
      </w:r>
      <w:r>
        <w:rPr>
          <w:rFonts w:eastAsia="Times New Roman" w:cs="Times New Roman" w:ascii="Times New Roman" w:hAnsi="Times New Roman"/>
          <w:bCs/>
          <w:iCs/>
          <w:color w:val="000000"/>
          <w:sz w:val="22"/>
          <w:szCs w:val="22"/>
          <w:shd w:fill="auto" w:val="clear"/>
          <w:lang w:val="uk-UA" w:eastAsia="uk-UA" w:bidi="ar-SA"/>
        </w:rPr>
        <w:t>Гарантійний лист, що т</w:t>
      </w:r>
      <w:r>
        <w:rPr>
          <w:rFonts w:eastAsia="Times New Roman" w:ascii="Times New Roman" w:hAnsi="Times New Roman"/>
          <w:b w:val="false"/>
          <w:bCs w:val="false"/>
          <w:color w:val="000000"/>
          <w:spacing w:val="-4"/>
          <w:sz w:val="22"/>
          <w:szCs w:val="22"/>
          <w:lang w:val="uk-UA" w:eastAsia="zh-CN"/>
        </w:rPr>
        <w:t xml:space="preserve">ермін придатності поставленого Товару повинен складати, на момент приймання його Замовником, не менше  12 місяців </w:t>
      </w:r>
    </w:p>
    <w:p>
      <w:pPr>
        <w:pStyle w:val="Normal"/>
        <w:suppressAutoHyphens w:val="true"/>
        <w:spacing w:lineRule="auto" w:line="240" w:before="0" w:after="0"/>
        <w:jc w:val="center"/>
        <w:rPr>
          <w:rFonts w:ascii="Times New Roman" w:hAnsi="Times New Roman" w:eastAsia="Calibri" w:cs="Times New Roman"/>
          <w:b/>
          <w:bCs/>
          <w:iCs/>
          <w:sz w:val="22"/>
          <w:szCs w:val="22"/>
          <w:lang w:val="uk-UA" w:eastAsia="uk-UA"/>
        </w:rPr>
      </w:pPr>
      <w:r>
        <w:rPr>
          <w:rFonts w:eastAsia="Calibri" w:cs="Times New Roman" w:ascii="Times New Roman" w:hAnsi="Times New Roman"/>
          <w:b/>
          <w:bCs/>
          <w:iCs/>
          <w:sz w:val="22"/>
          <w:szCs w:val="22"/>
          <w:lang w:val="uk-UA" w:eastAsia="uk-UA"/>
        </w:rPr>
      </w:r>
    </w:p>
    <w:p>
      <w:pPr>
        <w:pStyle w:val="Norma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tbl>
      <w:tblPr>
        <w:tblStyle w:val="a3"/>
        <w:tblW w:w="145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16"/>
        <w:gridCol w:w="1584"/>
        <w:gridCol w:w="1712"/>
        <w:gridCol w:w="4029"/>
        <w:gridCol w:w="5211"/>
        <w:gridCol w:w="843"/>
        <w:gridCol w:w="764"/>
      </w:tblGrid>
      <w:tr>
        <w:trPr/>
        <w:tc>
          <w:tcPr>
            <w:tcW w:w="416"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tc>
        <w:tc>
          <w:tcPr>
            <w:tcW w:w="1584" w:type="dxa"/>
            <w:tcBorders/>
          </w:tcPr>
          <w:p>
            <w:pPr>
              <w:pStyle w:val="Normal"/>
              <w:widowControl/>
              <w:suppressAutoHyphens w:val="true"/>
              <w:spacing w:lineRule="auto" w:line="240" w:before="0" w:after="0"/>
              <w:jc w:val="center"/>
              <w:rPr>
                <w:rFonts w:ascii="Times New Roman" w:hAnsi="Times New Roman" w:eastAsia="Times New Roman" w:cs="Times New Roman"/>
                <w:b/>
                <w:sz w:val="20"/>
                <w:szCs w:val="20"/>
                <w:lang w:eastAsia="uk-UA"/>
              </w:rPr>
            </w:pPr>
            <w:r>
              <w:rPr>
                <w:rFonts w:eastAsia="Times New Roman" w:cs="Times New Roman" w:ascii="Times New Roman" w:hAnsi="Times New Roman"/>
                <w:b/>
                <w:kern w:val="0"/>
                <w:sz w:val="20"/>
                <w:szCs w:val="20"/>
                <w:lang w:val="ru-RU" w:eastAsia="ru-RU" w:bidi="ar-SA"/>
              </w:rPr>
              <w:t>Найменування</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tc>
        <w:tc>
          <w:tcPr>
            <w:tcW w:w="1712"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kern w:val="0"/>
                <w:sz w:val="20"/>
                <w:szCs w:val="20"/>
                <w:lang w:val="uk-UA" w:eastAsia="ru-RU" w:bidi="ar-SA"/>
              </w:rPr>
              <w:t>код НК 024:2023</w:t>
            </w:r>
          </w:p>
        </w:tc>
        <w:tc>
          <w:tcPr>
            <w:tcW w:w="4029"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kern w:val="0"/>
                <w:sz w:val="20"/>
                <w:szCs w:val="20"/>
                <w:lang w:val="uk-UA" w:eastAsia="ru-RU" w:bidi="ar-SA"/>
              </w:rPr>
              <w:t>код НК 031:2024</w:t>
            </w:r>
          </w:p>
        </w:tc>
        <w:tc>
          <w:tcPr>
            <w:tcW w:w="5211"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bCs/>
                <w:kern w:val="0"/>
                <w:sz w:val="20"/>
                <w:szCs w:val="20"/>
                <w:shd w:fill="FFFFFF" w:val="clear"/>
                <w:lang w:val="uk-UA" w:eastAsia="ru-RU" w:bidi="ar-SA"/>
              </w:rPr>
              <w:t>Технічна вимога Замовника</w:t>
            </w:r>
          </w:p>
        </w:tc>
        <w:tc>
          <w:tcPr>
            <w:tcW w:w="843" w:type="dxa"/>
            <w:tcBorders/>
          </w:tcPr>
          <w:p>
            <w:pPr>
              <w:pStyle w:val="Normal"/>
              <w:widowControl/>
              <w:suppressAutoHyphens w:val="true"/>
              <w:spacing w:lineRule="auto" w:line="240" w:before="0" w:after="0"/>
              <w:jc w:val="center"/>
              <w:rPr>
                <w:rFonts w:ascii="Times New Roman" w:hAnsi="Times New Roman" w:eastAsia="Times New Roman" w:cs="Times New Roman"/>
                <w:b/>
                <w:bCs/>
                <w:sz w:val="20"/>
                <w:szCs w:val="20"/>
                <w:shd w:fill="FFFFFF" w:val="clear"/>
                <w:lang w:val="uk-UA" w:eastAsia="ru-RU"/>
              </w:rPr>
            </w:pPr>
            <w:r>
              <w:rPr>
                <w:rFonts w:eastAsia="Times New Roman" w:cs="Times New Roman" w:ascii="Times New Roman" w:hAnsi="Times New Roman"/>
                <w:b/>
                <w:bCs/>
                <w:kern w:val="0"/>
                <w:sz w:val="20"/>
                <w:szCs w:val="20"/>
                <w:shd w:fill="FFFFFF" w:val="clear"/>
                <w:lang w:val="uk-UA" w:eastAsia="ru-RU" w:bidi="ar-SA"/>
              </w:rPr>
              <w:t>од.</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bCs/>
                <w:kern w:val="0"/>
                <w:sz w:val="20"/>
                <w:szCs w:val="20"/>
                <w:shd w:fill="FFFFFF" w:val="clear"/>
                <w:lang w:val="uk-UA" w:eastAsia="ru-RU" w:bidi="ar-SA"/>
              </w:rPr>
              <w:t>виміру</w:t>
            </w:r>
          </w:p>
        </w:tc>
        <w:tc>
          <w:tcPr>
            <w:tcW w:w="764"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bCs/>
                <w:kern w:val="0"/>
                <w:sz w:val="20"/>
                <w:szCs w:val="20"/>
                <w:shd w:fill="FFFFFF" w:val="clear"/>
                <w:lang w:val="uk-UA" w:eastAsia="ru-RU" w:bidi="ar-SA"/>
              </w:rPr>
              <w:t>кіл-ть</w:t>
            </w:r>
          </w:p>
        </w:tc>
      </w:tr>
      <w:tr>
        <w:trPr/>
        <w:tc>
          <w:tcPr>
            <w:tcW w:w="416"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1</w:t>
            </w:r>
          </w:p>
        </w:tc>
        <w:tc>
          <w:tcPr>
            <w:tcW w:w="158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uk-UA" w:eastAsia="en-US" w:bidi="ar-SA"/>
              </w:rPr>
              <w:t xml:space="preserve">Ділюент 10 </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для </w:t>
            </w:r>
            <w:r>
              <w:rPr>
                <w:rFonts w:eastAsia="Calibri" w:cs="Times New Roman" w:ascii="Times New Roman" w:hAnsi="Times New Roman"/>
                <w:kern w:val="0"/>
                <w:sz w:val="20"/>
                <w:szCs w:val="20"/>
                <w:lang w:val="ru-RU" w:eastAsia="en-US" w:bidi="ar-SA"/>
              </w:rPr>
              <w:t>LabAnalyt</w:t>
            </w:r>
            <w:r>
              <w:rPr>
                <w:rFonts w:eastAsia="Calibri" w:cs="Times New Roman" w:ascii="Times New Roman" w:hAnsi="Times New Roman"/>
                <w:kern w:val="0"/>
                <w:sz w:val="20"/>
                <w:szCs w:val="20"/>
                <w:lang w:val="uk-UA" w:eastAsia="en-US" w:bidi="ar-SA"/>
              </w:rPr>
              <w:t xml:space="preserve"> 5-</w:t>
            </w:r>
            <w:r>
              <w:rPr>
                <w:rFonts w:eastAsia="Calibri" w:cs="Times New Roman" w:ascii="Times New Roman" w:hAnsi="Times New Roman"/>
                <w:kern w:val="0"/>
                <w:sz w:val="20"/>
                <w:szCs w:val="20"/>
                <w:lang w:val="ru-RU" w:eastAsia="en-US" w:bidi="ar-SA"/>
              </w:rPr>
              <w:t>Part</w:t>
            </w:r>
            <w:r>
              <w:rPr>
                <w:rFonts w:eastAsia="Calibri" w:cs="Times New Roman" w:ascii="Times New Roman" w:hAnsi="Times New Roman"/>
                <w:kern w:val="0"/>
                <w:sz w:val="20"/>
                <w:szCs w:val="20"/>
                <w:lang w:val="uk-UA" w:eastAsia="en-US" w:bidi="ar-SA"/>
              </w:rPr>
              <w:t xml:space="preserve"> Аналізатор Гематологічний</w:t>
            </w:r>
          </w:p>
        </w:tc>
        <w:tc>
          <w:tcPr>
            <w:tcW w:w="1712"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58237 Буферний розчинник зразків IVD (діагностика</w:t>
              <w:br/>
              <w:t>in vitro ), автоматичні/</w:t>
              <w:br/>
              <w:t>напівавтоматичні системи</w:t>
            </w:r>
          </w:p>
        </w:tc>
        <w:tc>
          <w:tcPr>
            <w:tcW w:w="4029"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W0103010105-ПІДРАХУНОК ДРІБНИХ КЛІТИН CBC-РЕАКТИВИ (РОЗЧИНИ ДЛЯ ОЧИСТКИ/РОЗВЕДЕННЯ/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ЛІЗУВАННЯ/ПРОТОЧНІ РІДИНИ)</w:t>
            </w:r>
          </w:p>
        </w:tc>
        <w:tc>
          <w:tcPr>
            <w:tcW w:w="5211"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хлорид натрію 0,4%, безводний сульфат натрію 1%, розчин консерванта 0,06%, соляна кислота 0,04%</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рН: 6,90 ± 0,10 при 25 ± 1 °C.</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Провідність ρ: 19,00 ± 0,50 mS/cm (мСм/см) при 25 ± 1 °C.</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Осмотична концентрація: 315 ± 6 mOsm/kg (мОсм/кг).</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Холосте значення: WBC ≤ 0.2×109/L (л), RBC ≤ 0.02×1012/L (л), HGB ≤ 1g/L (г/л), PLT ≤ 10×109/L (л).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 Підрахунок часточок: якщо розмір частинок ≥ 2,5 fL (фл), підрахунок часток повинен бути  ≤ 2,5×105/L (л)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 Точність: кількість WBC в межах ± 7,5%, кількість RBC в межах ± 3%, кількість HGB в межах ± 3,5%, кількість PLT в межах ± 10%, кількість MCV в межах ± 3,0%.</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7. Відмінності в партії: ΔрH значення ≤ 0.20, провідність  1mS/cm (мСм/см), осмотична концентрація ≤ 12 mOsm/kg (мОсм/кг).</w:t>
            </w:r>
            <w:r>
              <w:rPr>
                <w:rFonts w:eastAsia="Calibri" w:cs=""/>
                <w:kern w:val="0"/>
                <w:sz w:val="22"/>
                <w:szCs w:val="22"/>
                <w:lang w:val="uk-UA" w:eastAsia="en-US" w:bidi="ar-SA"/>
              </w:rPr>
              <w:t xml:space="preserve"> </w:t>
            </w:r>
            <w:r>
              <w:rPr>
                <w:rFonts w:eastAsia="Calibri" w:cs="Times New Roman" w:ascii="Times New Roman" w:hAnsi="Times New Roman"/>
                <w:kern w:val="0"/>
                <w:sz w:val="20"/>
                <w:szCs w:val="20"/>
                <w:lang w:val="uk-UA" w:eastAsia="en-US" w:bidi="ar-SA"/>
              </w:rPr>
              <w:t>Застосовуваність: використовується з Аналізаторами Автоматичними Гематологічними серії LabAnalyt 5-Part-Diff</w:t>
              <w:br/>
              <w:t>Комплектація:10 L (л)</w:t>
            </w:r>
          </w:p>
        </w:tc>
        <w:tc>
          <w:tcPr>
            <w:tcW w:w="843"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паков</w:t>
            </w:r>
          </w:p>
        </w:tc>
        <w:tc>
          <w:tcPr>
            <w:tcW w:w="76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60,000</w:t>
            </w:r>
          </w:p>
        </w:tc>
      </w:tr>
      <w:tr>
        <w:trPr/>
        <w:tc>
          <w:tcPr>
            <w:tcW w:w="416"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2</w:t>
            </w:r>
          </w:p>
        </w:tc>
        <w:tc>
          <w:tcPr>
            <w:tcW w:w="158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Реагент оболонки 10 L для LabAnalyt 5-Part Аналізатор Гематологічний</w:t>
            </w:r>
          </w:p>
        </w:tc>
        <w:tc>
          <w:tcPr>
            <w:tcW w:w="171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4"/>
                <w:szCs w:val="24"/>
                <w:lang w:val="uk-UA" w:eastAsia="uk-UA"/>
              </w:rPr>
            </w:pPr>
            <w:r>
              <w:rPr>
                <w:rFonts w:eastAsia="Calibri" w:cs="Times New Roman" w:ascii="Times New Roman" w:hAnsi="Times New Roman"/>
                <w:kern w:val="0"/>
                <w:sz w:val="20"/>
                <w:szCs w:val="20"/>
                <w:lang w:val="ru-RU" w:eastAsia="en-US" w:bidi="ar-SA"/>
              </w:rPr>
              <w:t>61165 - Реагент для лізису клітин крові IVD (діагностика in</w:t>
              <w:br/>
              <w:t>vitro )</w:t>
            </w:r>
          </w:p>
        </w:tc>
        <w:tc>
          <w:tcPr>
            <w:tcW w:w="4029"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W0103010105-ПІДРАХУНОК ДРІБНИХ КЛІТИН CBC-РЕАКТИВИ (РОЗЧИНИ ДЛЯ ОЧИСТКИ/РОЗВЕДЕННЯ/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ЛІЗУВАННЯ/ПРОТОЧНІ РІДИНИ)</w:t>
            </w:r>
          </w:p>
        </w:tc>
        <w:tc>
          <w:tcPr>
            <w:tcW w:w="5211"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трисгідроксиметил амінометан 0,5%, соляна кислота 0,05%, тритон 0,01%</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Значення рН: 8,40 ± 0,30 при 25 ± 1 ºC.</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Осмотична концентрація: 40 ± 20 mOsm/kg (мОсм/кг)</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Холосте значення: WBC ≤ 0,2 × 109/ L (л), HGB ≤ 1 g/L (г/л).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Точність: відносне відхилення: WBC ≥ ± 7,5%, HGB ≥ ± 3,5%.</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 Відмінності в партії: ΔpH ≤ 0,60, осмотична концентрація  ≤ 40 mOsm/kg  (мОсм/кг)</w:t>
            </w:r>
            <w:r>
              <w:rPr>
                <w:rFonts w:eastAsia="Calibri" w:cs=""/>
                <w:kern w:val="0"/>
                <w:sz w:val="22"/>
                <w:szCs w:val="22"/>
                <w:lang w:val="uk-UA" w:eastAsia="en-US" w:bidi="ar-SA"/>
              </w:rPr>
              <w:t xml:space="preserve"> </w:t>
            </w:r>
            <w:r>
              <w:rPr>
                <w:rFonts w:eastAsia="Calibri" w:cs="Times New Roman" w:ascii="Times New Roman" w:hAnsi="Times New Roman"/>
                <w:kern w:val="0"/>
                <w:sz w:val="20"/>
                <w:szCs w:val="20"/>
                <w:lang w:val="uk-UA" w:eastAsia="en-US" w:bidi="ar-SA"/>
              </w:rPr>
              <w:t>Застосовуваність: використовується з Аналізаторами Автоматичними Гематологічними серії LabAnalyt 5-Part-Diff</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Комплектація:10 L (л)</w:t>
            </w:r>
          </w:p>
        </w:tc>
        <w:tc>
          <w:tcPr>
            <w:tcW w:w="843"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паков</w:t>
            </w:r>
          </w:p>
        </w:tc>
        <w:tc>
          <w:tcPr>
            <w:tcW w:w="76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30,000</w:t>
            </w:r>
          </w:p>
        </w:tc>
      </w:tr>
      <w:tr>
        <w:trPr/>
        <w:tc>
          <w:tcPr>
            <w:tcW w:w="416"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3</w:t>
            </w:r>
          </w:p>
        </w:tc>
        <w:tc>
          <w:tcPr>
            <w:tcW w:w="158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uk-UA" w:eastAsia="en-US" w:bidi="ar-SA"/>
              </w:rPr>
              <w:t xml:space="preserve">Детергент 10 </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для </w:t>
            </w:r>
            <w:r>
              <w:rPr>
                <w:rFonts w:eastAsia="Calibri" w:cs="Times New Roman" w:ascii="Times New Roman" w:hAnsi="Times New Roman"/>
                <w:kern w:val="0"/>
                <w:sz w:val="20"/>
                <w:szCs w:val="20"/>
                <w:lang w:val="ru-RU" w:eastAsia="en-US" w:bidi="ar-SA"/>
              </w:rPr>
              <w:t>LabAnalyt</w:t>
            </w:r>
            <w:r>
              <w:rPr>
                <w:rFonts w:eastAsia="Calibri" w:cs="Times New Roman" w:ascii="Times New Roman" w:hAnsi="Times New Roman"/>
                <w:kern w:val="0"/>
                <w:sz w:val="20"/>
                <w:szCs w:val="20"/>
                <w:lang w:val="uk-UA" w:eastAsia="en-US" w:bidi="ar-SA"/>
              </w:rPr>
              <w:t xml:space="preserve"> 5-</w:t>
            </w:r>
            <w:r>
              <w:rPr>
                <w:rFonts w:eastAsia="Calibri" w:cs="Times New Roman" w:ascii="Times New Roman" w:hAnsi="Times New Roman"/>
                <w:kern w:val="0"/>
                <w:sz w:val="20"/>
                <w:szCs w:val="20"/>
                <w:lang w:val="ru-RU" w:eastAsia="en-US" w:bidi="ar-SA"/>
              </w:rPr>
              <w:t>Part</w:t>
            </w:r>
            <w:r>
              <w:rPr>
                <w:rFonts w:eastAsia="Calibri" w:cs="Times New Roman" w:ascii="Times New Roman" w:hAnsi="Times New Roman"/>
                <w:kern w:val="0"/>
                <w:sz w:val="20"/>
                <w:szCs w:val="20"/>
                <w:lang w:val="uk-UA" w:eastAsia="en-US" w:bidi="ar-SA"/>
              </w:rPr>
              <w:t xml:space="preserve"> Аналізатор Гематологічний</w:t>
            </w:r>
          </w:p>
        </w:tc>
        <w:tc>
          <w:tcPr>
            <w:tcW w:w="1712"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63377 -Засіб для очищення приладу/ аналізатора IVD</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(діагностика in vitro )</w:t>
            </w:r>
          </w:p>
        </w:tc>
        <w:tc>
          <w:tcPr>
            <w:tcW w:w="4029"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W0103010105-ПІДРАХУНОК ДРІБНИХ КЛІТИН CBC-РЕАКТИВИ (РОЗЧИНИ ДЛЯ ОЧИСТКИ/РОЗВЕДЕННЯ/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ЛІЗУВАННЯ/ПРОТОЧНІ РІДИНИ)</w:t>
            </w:r>
          </w:p>
        </w:tc>
        <w:tc>
          <w:tcPr>
            <w:tcW w:w="5211"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хлорид натрію 0,5%, безводний сульфат натрію 1,0%, соляна кислота 0,05%, сурфактант (ПАР) 0,2%.</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Експлуатаційні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Значення рН: 9,50 ± 0,30 при 25 ± 1 ℃.</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Відмінності в партії: ΔрH значення ≤ 0,60</w:t>
            </w:r>
            <w:r>
              <w:rPr>
                <w:rFonts w:eastAsia="Calibri" w:cs=""/>
                <w:kern w:val="0"/>
                <w:sz w:val="22"/>
                <w:szCs w:val="22"/>
                <w:lang w:val="uk-UA" w:eastAsia="en-US" w:bidi="ar-SA"/>
              </w:rPr>
              <w:t xml:space="preserve"> </w:t>
            </w:r>
            <w:r>
              <w:rPr>
                <w:rFonts w:eastAsia="Calibri" w:cs="Times New Roman" w:ascii="Times New Roman" w:hAnsi="Times New Roman"/>
                <w:kern w:val="0"/>
                <w:sz w:val="20"/>
                <w:szCs w:val="20"/>
                <w:lang w:val="uk-UA" w:eastAsia="en-US" w:bidi="ar-SA"/>
              </w:rPr>
              <w:t>Застосовуваність: використовується з Аналізаторами Автоматичними Гематологічними серії LabAnalyt 5-Part-Diff</w:t>
              <w:br/>
              <w:t>Комплектація:10 L (л)</w:t>
            </w:r>
          </w:p>
        </w:tc>
        <w:tc>
          <w:tcPr>
            <w:tcW w:w="843"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паков</w:t>
            </w:r>
          </w:p>
        </w:tc>
        <w:tc>
          <w:tcPr>
            <w:tcW w:w="76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30,000</w:t>
            </w:r>
          </w:p>
        </w:tc>
      </w:tr>
      <w:tr>
        <w:trPr/>
        <w:tc>
          <w:tcPr>
            <w:tcW w:w="416"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4</w:t>
            </w:r>
          </w:p>
        </w:tc>
        <w:tc>
          <w:tcPr>
            <w:tcW w:w="158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uk-UA" w:eastAsia="en-US" w:bidi="ar-SA"/>
              </w:rPr>
              <w:t xml:space="preserve">Літичний реагент 1 </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для </w:t>
            </w:r>
            <w:r>
              <w:rPr>
                <w:rFonts w:eastAsia="Calibri" w:cs="Times New Roman" w:ascii="Times New Roman" w:hAnsi="Times New Roman"/>
                <w:kern w:val="0"/>
                <w:sz w:val="20"/>
                <w:szCs w:val="20"/>
                <w:lang w:val="ru-RU" w:eastAsia="en-US" w:bidi="ar-SA"/>
              </w:rPr>
              <w:t>LabAnalyt</w:t>
            </w:r>
            <w:r>
              <w:rPr>
                <w:rFonts w:eastAsia="Calibri" w:cs="Times New Roman" w:ascii="Times New Roman" w:hAnsi="Times New Roman"/>
                <w:kern w:val="0"/>
                <w:sz w:val="20"/>
                <w:szCs w:val="20"/>
                <w:lang w:val="uk-UA" w:eastAsia="en-US" w:bidi="ar-SA"/>
              </w:rPr>
              <w:t xml:space="preserve"> 5-</w:t>
            </w:r>
            <w:r>
              <w:rPr>
                <w:rFonts w:eastAsia="Calibri" w:cs="Times New Roman" w:ascii="Times New Roman" w:hAnsi="Times New Roman"/>
                <w:kern w:val="0"/>
                <w:sz w:val="20"/>
                <w:szCs w:val="20"/>
                <w:lang w:val="ru-RU" w:eastAsia="en-US" w:bidi="ar-SA"/>
              </w:rPr>
              <w:t>Part</w:t>
            </w:r>
            <w:r>
              <w:rPr>
                <w:rFonts w:eastAsia="Calibri" w:cs="Times New Roman" w:ascii="Times New Roman" w:hAnsi="Times New Roman"/>
                <w:kern w:val="0"/>
                <w:sz w:val="20"/>
                <w:szCs w:val="20"/>
                <w:lang w:val="uk-UA" w:eastAsia="en-US" w:bidi="ar-SA"/>
              </w:rPr>
              <w:t xml:space="preserve"> Аналізатор Гематологічний</w:t>
            </w:r>
          </w:p>
        </w:tc>
        <w:tc>
          <w:tcPr>
            <w:tcW w:w="1712"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61165 - Реагент для лізису клітин крові IVD (діагностика in</w:t>
              <w:br/>
              <w:t>vitro )</w:t>
            </w:r>
          </w:p>
        </w:tc>
        <w:tc>
          <w:tcPr>
            <w:tcW w:w="4029"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W0103010105-ПІДРАХУНОК ДРІБНИХ КЛІТИН CBC-РЕАКТИВИ (РОЗЧИНИ ДЛЯ</w:t>
              <w:br/>
              <w:t>ОЧИСТКИ/РОЗВЕДЕННЯ/ЛІЗУВАННЯ/ПР</w:t>
              <w:br/>
              <w:t>ОТОЧНІ РІДИНИ)</w:t>
            </w:r>
          </w:p>
        </w:tc>
        <w:tc>
          <w:tcPr>
            <w:tcW w:w="5211"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борна кислота 0,5%, бура 0,1%, хлорид додецилтриметиламонія 3%, бромід міристилтриметил амонія 0,3%</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Значення рН: 4,00 ± 0,50 при 25 ± 1 ºC</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Пік поглинання: λmax = 540 ± 10 nm (нм)</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Холосте значення: WBC ≤ 0,3 × 109/ L (л), HGB ≤ 2 g/L (г/л).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Точність: відносне відхилення: WBC  ≥ ± 7,5%,  HGB ≥ ± 3,5%.</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 Відмінності в партії: ΔpH ≤ 1,0.</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Застосовуваність: використовується з Аналізаторами Автоматичними Гематологічними серії LabAnalyt 5-Part-Diff</w:t>
              <w:br/>
              <w:t>Комплектація:1 L (л)</w:t>
            </w:r>
          </w:p>
        </w:tc>
        <w:tc>
          <w:tcPr>
            <w:tcW w:w="843"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паков</w:t>
            </w:r>
          </w:p>
        </w:tc>
        <w:tc>
          <w:tcPr>
            <w:tcW w:w="76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10,000</w:t>
            </w:r>
          </w:p>
        </w:tc>
      </w:tr>
      <w:tr>
        <w:trPr/>
        <w:tc>
          <w:tcPr>
            <w:tcW w:w="416"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5</w:t>
            </w:r>
          </w:p>
        </w:tc>
        <w:tc>
          <w:tcPr>
            <w:tcW w:w="158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uk-UA" w:eastAsia="en-US" w:bidi="ar-SA"/>
              </w:rPr>
              <w:t xml:space="preserve">Очищуючий засіб 100 </w:t>
            </w:r>
            <w:r>
              <w:rPr>
                <w:rFonts w:eastAsia="Calibri" w:cs="Times New Roman" w:ascii="Times New Roman" w:hAnsi="Times New Roman"/>
                <w:kern w:val="0"/>
                <w:sz w:val="20"/>
                <w:szCs w:val="20"/>
                <w:lang w:val="ru-RU" w:eastAsia="en-US" w:bidi="ar-SA"/>
              </w:rPr>
              <w:t>ml</w:t>
            </w:r>
            <w:r>
              <w:rPr>
                <w:rFonts w:eastAsia="Calibri" w:cs="Times New Roman" w:ascii="Times New Roman" w:hAnsi="Times New Roman"/>
                <w:kern w:val="0"/>
                <w:sz w:val="20"/>
                <w:szCs w:val="20"/>
                <w:lang w:val="uk-UA" w:eastAsia="en-US" w:bidi="ar-SA"/>
              </w:rPr>
              <w:t xml:space="preserve"> для </w:t>
            </w:r>
            <w:r>
              <w:rPr>
                <w:rFonts w:eastAsia="Calibri" w:cs="Times New Roman" w:ascii="Times New Roman" w:hAnsi="Times New Roman"/>
                <w:kern w:val="0"/>
                <w:sz w:val="20"/>
                <w:szCs w:val="20"/>
                <w:lang w:val="ru-RU" w:eastAsia="en-US" w:bidi="ar-SA"/>
              </w:rPr>
              <w:t>LabAnalyt</w:t>
            </w:r>
            <w:r>
              <w:rPr>
                <w:rFonts w:eastAsia="Calibri" w:cs="Times New Roman" w:ascii="Times New Roman" w:hAnsi="Times New Roman"/>
                <w:kern w:val="0"/>
                <w:sz w:val="20"/>
                <w:szCs w:val="20"/>
                <w:lang w:val="uk-UA" w:eastAsia="en-US" w:bidi="ar-SA"/>
              </w:rPr>
              <w:t xml:space="preserve"> 5-</w:t>
            </w:r>
            <w:r>
              <w:rPr>
                <w:rFonts w:eastAsia="Calibri" w:cs="Times New Roman" w:ascii="Times New Roman" w:hAnsi="Times New Roman"/>
                <w:kern w:val="0"/>
                <w:sz w:val="20"/>
                <w:szCs w:val="20"/>
                <w:lang w:val="ru-RU" w:eastAsia="en-US" w:bidi="ar-SA"/>
              </w:rPr>
              <w:t>Part</w:t>
            </w:r>
            <w:r>
              <w:rPr>
                <w:rFonts w:eastAsia="Calibri" w:cs="Times New Roman" w:ascii="Times New Roman" w:hAnsi="Times New Roman"/>
                <w:kern w:val="0"/>
                <w:sz w:val="20"/>
                <w:szCs w:val="20"/>
                <w:lang w:val="uk-UA" w:eastAsia="en-US" w:bidi="ar-SA"/>
              </w:rPr>
              <w:t xml:space="preserve"> Аналізатор Гематологічний</w:t>
            </w:r>
          </w:p>
        </w:tc>
        <w:tc>
          <w:tcPr>
            <w:tcW w:w="171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63377 -Засіб для очищення приладу/ аналізатора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4029"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W0103010105-ПІДРАХУНОК ДРІБНИХ КЛІТИН CBC-РЕАКТИВИ (РОЗЧИНИ ДЛЯ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ОЧИСТКИ/РОЗВЕДЕННЯ/ЛІЗУВАННЯ/ПР</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ОТОЧНІ РІДИНИ)</w:t>
            </w:r>
          </w:p>
        </w:tc>
        <w:tc>
          <w:tcPr>
            <w:tcW w:w="521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гіпохлорид натрію 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Експлуатаційні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Значення рН:  ≥ 13,00 при 25 ± 1 ºC.</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Відмінності в партії: ΔрH ≤ 2,0.</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Застосовуваність: використовується з Аналізаторами Автоматичними Гематологічними серії LabAnalyt 5-Part-Diff</w:t>
              <w:br/>
              <w:t>Комплектація:</w:t>
            </w:r>
            <w:r>
              <w:rPr>
                <w:rFonts w:eastAsia="Calibri" w:cs="Times New Roman" w:ascii="Times New Roman" w:hAnsi="Times New Roman"/>
                <w:kern w:val="0"/>
                <w:sz w:val="20"/>
                <w:szCs w:val="20"/>
                <w:lang w:val="uk-UA" w:eastAsia="en-US" w:bidi="ar-SA"/>
              </w:rPr>
              <w:t>0,</w:t>
            </w:r>
            <w:r>
              <w:rPr>
                <w:rFonts w:eastAsia="Calibri" w:cs="Times New Roman" w:ascii="Times New Roman" w:hAnsi="Times New Roman"/>
                <w:kern w:val="0"/>
                <w:sz w:val="20"/>
                <w:szCs w:val="20"/>
                <w:lang w:val="ru-RU" w:eastAsia="en-US" w:bidi="ar-SA"/>
              </w:rPr>
              <w:t>1 L (л)</w:t>
            </w:r>
          </w:p>
        </w:tc>
        <w:tc>
          <w:tcPr>
            <w:tcW w:w="843"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пляш</w:t>
            </w:r>
          </w:p>
        </w:tc>
        <w:tc>
          <w:tcPr>
            <w:tcW w:w="76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28,000</w:t>
            </w:r>
          </w:p>
        </w:tc>
      </w:tr>
      <w:tr>
        <w:trPr/>
        <w:tc>
          <w:tcPr>
            <w:tcW w:w="416"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6</w:t>
            </w:r>
          </w:p>
        </w:tc>
        <w:tc>
          <w:tcPr>
            <w:tcW w:w="158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Контрольний матеріал  СВС-3К, 3.0 мл,нормальний рівень</w:t>
            </w:r>
          </w:p>
        </w:tc>
        <w:tc>
          <w:tcPr>
            <w:tcW w:w="1712"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55866 -  Підрахунок клітин крові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контрольний матеріал</w:t>
            </w:r>
          </w:p>
        </w:tc>
        <w:tc>
          <w:tcPr>
            <w:tcW w:w="4029" w:type="dxa"/>
            <w:tcBorders/>
          </w:tcPr>
          <w:p>
            <w:pPr>
              <w:pStyle w:val="Normal"/>
              <w:widowControl/>
              <w:spacing w:lineRule="auto" w:line="240" w:before="0" w:after="0"/>
              <w:contextualSpacing/>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W0103010501- НОРМАЛЬНІ ЗНАЧЕННЯ ПОКАЗНИКІВ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КРОВІ</w:t>
            </w:r>
          </w:p>
        </w:tc>
        <w:tc>
          <w:tcPr>
            <w:tcW w:w="521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Контроль,призначений для моніторингу значень на автоматизованих і напівавтоматизованих гематологічних анализаторах імпедансного типу. Його також можна використовувати для ручних методів.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Тільки для in vitro</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складається з еритроцитів людини, лейкоцитів ссавців та тромбоцитів ссавців,суспендованих у плазмоподібній рідині з консервантами.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при 2 - 8 ° C (35 -46°F)</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Термін придатності не більше 14 днів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Рівень концентрації матеріалу - нормальний.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Фасування – не більше </w:t>
            </w:r>
            <w:r>
              <w:rPr>
                <w:rFonts w:eastAsia="Calibri" w:cs="Times New Roman" w:ascii="Times New Roman" w:hAnsi="Times New Roman"/>
                <w:kern w:val="0"/>
                <w:sz w:val="20"/>
                <w:szCs w:val="20"/>
                <w:lang w:val="uk-UA" w:eastAsia="en-US" w:bidi="ar-SA"/>
              </w:rPr>
              <w:t>3</w:t>
            </w:r>
            <w:r>
              <w:rPr>
                <w:rFonts w:eastAsia="Calibri" w:cs="Times New Roman" w:ascii="Times New Roman" w:hAnsi="Times New Roman"/>
                <w:kern w:val="0"/>
                <w:sz w:val="20"/>
                <w:szCs w:val="20"/>
                <w:lang w:val="ru-RU" w:eastAsia="en-US" w:bidi="ar-SA"/>
              </w:rPr>
              <w:t xml:space="preserve"> мл</w:t>
            </w:r>
          </w:p>
        </w:tc>
        <w:tc>
          <w:tcPr>
            <w:tcW w:w="843"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шт</w:t>
            </w:r>
          </w:p>
        </w:tc>
        <w:tc>
          <w:tcPr>
            <w:tcW w:w="76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Calibri" w:cs="Times New Roman" w:ascii="Times New Roman" w:hAnsi="Times New Roman"/>
                <w:kern w:val="0"/>
                <w:sz w:val="20"/>
                <w:szCs w:val="20"/>
                <w:lang w:val="ru-RU" w:eastAsia="en-US" w:bidi="ar-SA"/>
              </w:rPr>
              <w:t>20,000</w:t>
            </w:r>
          </w:p>
        </w:tc>
      </w:tr>
    </w:tbl>
    <w:p>
      <w:pPr>
        <w:pStyle w:val="Normal"/>
        <w:suppressAutoHyphens w:val="true"/>
        <w:spacing w:lineRule="auto" w:line="240" w:before="0" w:after="0"/>
        <w:jc w:val="center"/>
        <w:rPr>
          <w:rFonts w:ascii="Times New Roman" w:hAnsi="Times New Roman" w:eastAsia="Times New Roman" w:cs="Times New Roman"/>
          <w:bCs/>
          <w:iCs/>
          <w:color w:val="000000"/>
          <w:sz w:val="24"/>
          <w:szCs w:val="24"/>
          <w:lang w:val="uk-UA" w:eastAsia="uk-UA"/>
        </w:rPr>
      </w:pPr>
      <w:r>
        <w:rPr>
          <w:rFonts w:eastAsia="Times New Roman" w:cs="Times New Roman" w:ascii="Times New Roman" w:hAnsi="Times New Roman"/>
          <w:b/>
          <w:i/>
          <w:color w:val="000000"/>
          <w:sz w:val="24"/>
          <w:szCs w:val="24"/>
          <w:lang w:val="uk-UA" w:eastAsia="uk-UA"/>
        </w:rPr>
        <w:br/>
      </w:r>
    </w:p>
    <w:p>
      <w:pPr>
        <w:pStyle w:val="Normal"/>
        <w:suppressAutoHyphens w:val="true"/>
        <w:spacing w:lineRule="auto" w:line="240" w:before="0" w:after="0"/>
        <w:jc w:val="center"/>
        <w:rPr>
          <w:rFonts w:ascii="Times New Roman" w:hAnsi="Times New Roman" w:eastAsia="Times New Roman" w:cs="Times New Roman"/>
          <w:bCs/>
          <w:iCs/>
          <w:color w:val="000000"/>
          <w:sz w:val="24"/>
          <w:szCs w:val="24"/>
          <w:lang w:val="uk-UA" w:eastAsia="uk-UA"/>
        </w:rPr>
      </w:pPr>
      <w:r>
        <w:rPr>
          <w:rFonts w:eastAsia="Times New Roman" w:cs="Times New Roman" w:ascii="Times New Roman" w:hAnsi="Times New Roman"/>
          <w:bCs/>
          <w:iCs/>
          <w:color w:val="000000"/>
          <w:sz w:val="24"/>
          <w:szCs w:val="24"/>
          <w:lang w:val="uk-UA" w:eastAsia="uk-UA"/>
        </w:rPr>
      </w:r>
    </w:p>
    <w:p>
      <w:pPr>
        <w:pStyle w:val="Normal"/>
        <w:suppressAutoHyphens w:val="true"/>
        <w:spacing w:lineRule="auto" w:line="240" w:before="0" w:after="0"/>
        <w:jc w:val="both"/>
        <w:rPr>
          <w:iCs/>
        </w:rPr>
      </w:pPr>
      <w:r>
        <w:rPr>
          <w:rFonts w:eastAsia="Times New Roman"/>
          <w:sz w:val="24"/>
          <w:szCs w:val="24"/>
        </w:rPr>
        <w:t xml:space="preserve">           </w:t>
      </w:r>
      <w:bookmarkStart w:id="2" w:name="_GoBack"/>
      <w:bookmarkEnd w:id="2"/>
    </w:p>
    <w:p>
      <w:pPr>
        <w:pStyle w:val="Norma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p>
      <w:pPr>
        <w:pStyle w:val="Norma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p>
      <w:pPr>
        <w:pStyle w:val="Normal"/>
        <w:suppressAutoHyphens w:val="true"/>
        <w:spacing w:lineRule="auto" w:line="240" w:before="0" w:after="0"/>
        <w:jc w:val="both"/>
        <w:rPr>
          <w:iCs/>
        </w:rPr>
      </w:pPr>
      <w:r>
        <w:rPr>
          <w:iCs/>
        </w:rPr>
      </w:r>
    </w:p>
    <w:sectPr>
      <w:type w:val="nextPage"/>
      <w:pgSz w:orient="landscape" w:w="16838" w:h="11906"/>
      <w:pgMar w:left="1134" w:right="1134" w:gutter="0" w:header="0" w:top="1701"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swiss"/>
    <w:pitch w:val="variable"/>
  </w:font>
  <w:font w:name="Liberation Sans">
    <w:altName w:val="Arial"/>
    <w:charset w:val="cc"/>
    <w:family w:val="swiss"/>
    <w:pitch w:val="variable"/>
  </w:font>
  <w:font w:name="Times New Roman">
    <w:charset w:val="cc"/>
    <w:family w:val="roman"/>
    <w:pitch w:val="variable"/>
  </w:font>
  <w:font w:name="Arial">
    <w:charset w:val="cc"/>
    <w:family w:val="swiss"/>
    <w:pitch w:val="variable"/>
  </w:font>
  <w:font w:name="Calibri Light">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08b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link w:val="NoSpacing"/>
    <w:qFormat/>
    <w:locked/>
    <w:rsid w:val="00386cdb"/>
    <w:rPr>
      <w:rFonts w:ascii="Calibri" w:hAnsi="Calibri" w:eastAsia="Calibri"/>
    </w:rPr>
  </w:style>
  <w:style w:type="character" w:styleId="rvts0" w:customStyle="1">
    <w:name w:val="rvts0"/>
    <w:qFormat/>
    <w:rsid w:val="007e64c1"/>
    <w:rPr>
      <w:rFonts w:cs="Times New Roman"/>
    </w:rPr>
  </w:style>
  <w:style w:type="character" w:styleId="Hyperlink">
    <w:name w:val="Hyperlink"/>
    <w:basedOn w:val="DefaultParagraphFont"/>
    <w:uiPriority w:val="99"/>
    <w:unhideWhenUsed/>
    <w:rsid w:val="00644a45"/>
    <w:rPr>
      <w:color w:themeColor="hyperlink" w:val="0563C1"/>
      <w:u w:val="single"/>
    </w:rPr>
  </w:style>
  <w:style w:type="character" w:styleId="UnresolvedMention" w:customStyle="1">
    <w:name w:val="Unresolved Mention"/>
    <w:basedOn w:val="DefaultParagraphFont"/>
    <w:uiPriority w:val="99"/>
    <w:semiHidden/>
    <w:unhideWhenUsed/>
    <w:qFormat/>
    <w:rsid w:val="00644a45"/>
    <w:rPr>
      <w:color w:val="605E5C"/>
      <w:shd w:fill="E1DFDD" w:val="clear"/>
    </w:rPr>
  </w:style>
  <w:style w:type="character" w:styleId="Style15" w:customStyle="1">
    <w:name w:val="Текст выноски Знак"/>
    <w:basedOn w:val="DefaultParagraphFont"/>
    <w:link w:val="BalloonText"/>
    <w:uiPriority w:val="99"/>
    <w:semiHidden/>
    <w:qFormat/>
    <w:rsid w:val="00f53311"/>
    <w:rPr>
      <w:rFonts w:ascii="Segoe UI" w:hAnsi="Segoe UI" w:cs="Segoe UI"/>
      <w:sz w:val="18"/>
      <w:szCs w:val="18"/>
    </w:rPr>
  </w:style>
  <w:style w:type="character" w:styleId="A1" w:customStyle="1">
    <w:name w:val="A1"/>
    <w:uiPriority w:val="99"/>
    <w:qFormat/>
    <w:rsid w:val="00a734a8"/>
    <w:rPr>
      <w:color w:val="211D1E"/>
      <w:sz w:val="12"/>
      <w:szCs w:val="12"/>
    </w:rPr>
  </w:style>
  <w:style w:type="character" w:styleId="Strong">
    <w:name w:val="Strong"/>
    <w:basedOn w:val="DefaultParagraphFont"/>
    <w:uiPriority w:val="22"/>
    <w:qFormat/>
    <w:rsid w:val="002f4fa0"/>
    <w:rPr>
      <w:b/>
      <w:bCs/>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NoSpacing">
    <w:name w:val="No Spacing"/>
    <w:link w:val="Style14"/>
    <w:qFormat/>
    <w:rsid w:val="00386cd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8f487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3a757c"/>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5"/>
    <w:uiPriority w:val="99"/>
    <w:semiHidden/>
    <w:unhideWhenUsed/>
    <w:qFormat/>
    <w:rsid w:val="00f53311"/>
    <w:pPr>
      <w:spacing w:lineRule="auto" w:line="240" w:before="0" w:after="0"/>
    </w:pPr>
    <w:rPr>
      <w:rFonts w:ascii="Segoe UI" w:hAnsi="Segoe UI" w:cs="Segoe UI"/>
      <w:sz w:val="18"/>
      <w:szCs w:val="18"/>
    </w:rPr>
  </w:style>
  <w:style w:type="paragraph" w:styleId="Pa4" w:customStyle="1">
    <w:name w:val="Pa4"/>
    <w:basedOn w:val="Normal"/>
    <w:next w:val="Normal"/>
    <w:uiPriority w:val="99"/>
    <w:qFormat/>
    <w:rsid w:val="00a734a8"/>
    <w:pPr>
      <w:spacing w:lineRule="atLeast" w:line="241" w:before="0" w:after="0"/>
    </w:pPr>
    <w:rPr>
      <w:rFonts w:ascii="Arial" w:hAnsi="Arial" w:cs="Arial"/>
      <w:sz w:val="24"/>
      <w:szCs w:val="24"/>
    </w:rPr>
  </w:style>
  <w:style w:type="paragraph" w:styleId="Pa3" w:customStyle="1">
    <w:name w:val="Pa3"/>
    <w:basedOn w:val="Normal"/>
    <w:next w:val="Normal"/>
    <w:uiPriority w:val="99"/>
    <w:qFormat/>
    <w:rsid w:val="00a734a8"/>
    <w:pPr>
      <w:spacing w:lineRule="atLeast" w:line="121" w:before="0" w:after="0"/>
    </w:pPr>
    <w:rPr>
      <w:rFonts w:ascii="Arial" w:hAnsi="Arial" w:cs="Arial"/>
      <w:sz w:val="24"/>
      <w:szCs w:val="24"/>
    </w:rPr>
  </w:style>
  <w:style w:type="paragraph" w:styleId="Pa1" w:customStyle="1">
    <w:name w:val="Pa1"/>
    <w:basedOn w:val="Normal"/>
    <w:next w:val="Normal"/>
    <w:uiPriority w:val="99"/>
    <w:qFormat/>
    <w:rsid w:val="00a734a8"/>
    <w:pPr>
      <w:spacing w:lineRule="atLeast" w:line="121" w:before="0" w:after="0"/>
    </w:pPr>
    <w:rPr>
      <w:rFonts w:ascii="Arial" w:hAnsi="Arial" w:cs="Arial"/>
      <w:sz w:val="24"/>
      <w:szCs w:val="24"/>
    </w:rPr>
  </w:style>
  <w:style w:type="paragraph" w:styleId="Standard" w:customStyle="1">
    <w:name w:val="Standard"/>
    <w:qFormat/>
    <w:rsid w:val="00fa0e2a"/>
    <w:pPr>
      <w:widowControl/>
      <w:suppressAutoHyphens w:val="true"/>
      <w:bidi w:val="0"/>
      <w:spacing w:lineRule="auto" w:line="240" w:before="0" w:after="0"/>
      <w:jc w:val="left"/>
    </w:pPr>
    <w:rPr>
      <w:rFonts w:ascii="Liberation Serif" w:hAnsi="Liberation Serif" w:eastAsia="SimSun" w:cs="Mangal"/>
      <w:color w:val="auto"/>
      <w:kern w:val="2"/>
      <w:sz w:val="24"/>
      <w:szCs w:val="24"/>
      <w:lang w:val="ru-RU" w:eastAsia="zh-CN" w:bidi="hi-IN"/>
    </w:rPr>
  </w:style>
  <w:style w:type="paragraph" w:styleId="Title">
    <w:name w:val="Title"/>
    <w:basedOn w:val="Normal"/>
    <w:next w:val="Normal"/>
    <w:qFormat/>
    <w:pPr>
      <w:spacing w:lineRule="auto" w:line="240" w:before="0" w:after="0"/>
      <w:contextualSpacing/>
    </w:pPr>
    <w:rPr>
      <w:rFonts w:ascii="Calibri Light" w:hAnsi="Calibri Light" w:eastAsia="Times New Roman"/>
      <w:spacing w:val="-10"/>
      <w:kern w:val="2"/>
      <w:sz w:val="56"/>
      <w:szCs w:val="56"/>
    </w:rPr>
  </w:style>
  <w:style w:type="paragraph" w:styleId="1">
    <w:name w:val="Цитата1"/>
    <w:basedOn w:val="Normal"/>
    <w:qFormat/>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Сетка таблицы1"/>
    <w:basedOn w:val="a1"/>
    <w:uiPriority w:val="39"/>
    <w:rsid w:val="00c646c7"/>
    <w:pPr>
      <w:spacing w:after="0" w:line="240" w:lineRule="auto"/>
    </w:pPr>
    <w:rPr>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3">
    <w:name w:val="Table Grid"/>
    <w:basedOn w:val="a1"/>
    <w:uiPriority w:val="39"/>
    <w:rsid w:val="00c646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8248-3446-4E73-A62E-2C402615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Application>LibreOffice/25.2.7.2$Windows_X86_64 LibreOffice_project/5cbfd1ab6520636bb5f7b99185aa69bd7456825d</Application>
  <AppVersion>15.0000</AppVersion>
  <Pages>5</Pages>
  <Words>1175</Words>
  <Characters>7633</Characters>
  <CharactersWithSpaces>8898</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2025-11-08T08:24:00Z</dcterms:created>
  <dc:creator>Svetlana Kud</dc:creator>
  <dc:description/>
  <dc:language>uk-UA</dc:language>
  <cp:lastModifiedBy/>
  <cp:lastPrinted>2026-01-15T10:51:00Z</cp:lastPrinted>
  <dcterms:modified xsi:type="dcterms:W3CDTF">2026-02-05T14:55:32Z</dcterms:modified>
  <cp:revision>1133</cp:revision>
  <dc:subject/>
  <dc:title/>
</cp:coreProperties>
</file>

<file path=docProps/custom.xml><?xml version="1.0" encoding="utf-8"?>
<Properties xmlns="http://schemas.openxmlformats.org/officeDocument/2006/custom-properties" xmlns:vt="http://schemas.openxmlformats.org/officeDocument/2006/docPropsVTypes"/>
</file>