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2D" w:rsidRPr="00AF68AD" w:rsidRDefault="00BB3A8C" w:rsidP="00ED732D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 w:rsidRPr="00AF68A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ШЛЯХ ПАЦІЄНТА</w:t>
      </w:r>
    </w:p>
    <w:bookmarkEnd w:id="0"/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 пройти оцінювання повсякденного функціонування: сучасна, прозора процедура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Ця покрокова інструкція допоможе вам зрозуміти, як пройти всі етапи оцінювання повсякденного функціонування особи, яке проводиться з професійним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ідходом, орієнтованим на потреби людини.  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1. Перший крок: звернення до свого лікуючого лікаря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Вам необхідно звернутися до свого </w:t>
      </w:r>
      <w:hyperlink r:id="rId6" w:history="1">
        <w:r w:rsidRPr="00BB3A8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лікуючого лікаря</w:t>
        </w:r>
      </w:hyperlink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який спеціалізується на захворюванні, що спричинило значні порушення здоров’я, які можуть бути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ідставою для встановлення інвалідності чи ступеню втрати професійної працездатності. Або ж до сімейного лікаря, у разі, якщо всі документи та обстеження наявні. Це перший необхідний крок для взаємодії в рамках процесу оцінювання. 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Метою направлення особи на оцінювання може бути: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встановлення інвалідності;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змі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причини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інвалідності;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закінчення строку, на який встановлено інвалідність;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повторне оцінювання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разі настання змін у стані здоров’я;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оновлення рекомендацій, які є частиною індивідуальної програми реабілітації особи з інвалідністю;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встановлення ступеня втрати професійної працездатності;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продовження тимчасової непрацездатності;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визначення медичних показань для забезпечення автомобілем та/або електроскутером і протипоказань до керування ними;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встановлення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причинного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зв’язку смерті з професійним захворюванням, трудовим каліцтвом або іншим ушкодженням здоров’я;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10) визначення потреби в постійному догляді та інших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іальних послугах;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призначення допоміжних засобів реабілітації (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ічних та інших засобів реабілітації) та/або медичних виробів;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12) встановлення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причинного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зв’язку інвалідності з хворобами, перенесеними у дитинстві.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ісля проведення необхідних діагностичних, лікувальних і реабілітаційних заходів за наявності станів, що відповідають </w:t>
      </w:r>
      <w:hyperlink r:id="rId7" w:anchor="n453:~:text=%D0%9A%D0%A0%D0%98%D0%A2%D0%95%D0%A0%D0%86%D0%87%0A%D0%BD%D0%B0%D0%BF%D1%80%D0%B0%D0%B2%D0%BB%D0%B5%D0%BD%D0%BD%D1%8F%20%D0%BD%D0%B0%20%D0%BF%D1%80%D0%BE%D0%B2%D0%B5%D0%B4%D0%B5%D0%BD%D0%BD%D1%8F%20%D0%BE%D1%86%D1%96%D0%BD%D1%8E%D0%B2%D0%B0%D0" w:history="1">
        <w:r w:rsidRPr="00BB3A8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Критеріям направлення на оцінювання</w:t>
        </w:r>
      </w:hyperlink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лікар формує в</w:t>
      </w:r>
      <w:hyperlink r:id="rId8" w:history="1">
        <w:r w:rsidRPr="00BB3A8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 xml:space="preserve"> електронній системі</w:t>
        </w:r>
      </w:hyperlink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направлення на оцінювання повсякденного функціонування особи.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новій системі лікарсько-консультативна комі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ія (ЛКК) більше не бере участі у затвердженні направлень на оцінювання. Водночас ЛКК виконує решту своїх функцій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закладі. ​​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Для військовослужбовців голова ВЛК, як і лікуючий лікар, має право сформувати направлення для оцінювання та отримання статусу інвалідності. Детальніше про </w:t>
      </w:r>
      <w:hyperlink r:id="rId9" w:history="1">
        <w:r w:rsidRPr="00BB3A8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shd w:val="clear" w:color="auto" w:fill="FFFFFF"/>
            <w:lang w:eastAsia="ru-RU"/>
          </w:rPr>
          <w:t>шлях військовослужбовця. </w:t>
        </w:r>
      </w:hyperlink>
      <w:proofErr w:type="gramEnd"/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2. </w:t>
      </w:r>
      <w:proofErr w:type="gramStart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</w:t>
      </w:r>
      <w:proofErr w:type="gramEnd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ідготовка документів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ідготуйте:</w:t>
      </w:r>
    </w:p>
    <w:p w:rsidR="00ED732D" w:rsidRPr="00BB3A8C" w:rsidRDefault="00ED732D" w:rsidP="00ED732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громадянина України, РНОКПП (за наявності), військово-обліковий документ (за наявності). </w:t>
      </w:r>
    </w:p>
    <w:p w:rsidR="00ED732D" w:rsidRPr="00BB3A8C" w:rsidRDefault="00ED732D" w:rsidP="00ED732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Медичну документацію, що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ідтверджує ваш діагноз та в якій відображено стан вашого здоров'я, зокрема документи про раніше встановлену інвалідність. </w:t>
      </w:r>
    </w:p>
    <w:p w:rsidR="00ED732D" w:rsidRPr="00BB3A8C" w:rsidRDefault="00ED732D" w:rsidP="00ED732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Документи, що засвідчують причини інвалідності (за наявності)/</w:t>
      </w:r>
    </w:p>
    <w:p w:rsidR="00ED732D" w:rsidRPr="00BB3A8C" w:rsidRDefault="00ED732D" w:rsidP="00ED732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Адресу електронної пошти пацієнта або довіреної особи/</w:t>
      </w:r>
    </w:p>
    <w:p w:rsidR="00ED732D" w:rsidRPr="00BB3A8C" w:rsidRDefault="00ED732D" w:rsidP="00ED732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Адресу для отримання паперових листів поштою (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потреби).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Якщо ви втратили попередню довідку МСЕК, то зверніться до територіального відділення Пенсійного фонду, оскільки саме електронні системи Пенсійного фонду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істять централізовану інформацію про всіх осіб з інвалідністю, яким була призначена пенсія з інвалідності.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Документи можна подати у паперовій формі для їх сканування в закладі охорони здоров’я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ід час формування направлення на оцінювання.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 ви маєте ці документи в електронному вигляді, ви можете передати їх лікареві одразу в електронній формі. У випадку бажання присутності уповноваженої особи на оцінюванні до справи має бути прикріплена відповідна заява з інформацією про таку особу. </w:t>
      </w:r>
      <w:proofErr w:type="gramEnd"/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Детальніше про весь перелі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документів — на </w:t>
      </w:r>
      <w:hyperlink r:id="rId10" w:history="1">
        <w:r w:rsidRPr="00BB3A8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сайті МОЗ</w:t>
        </w:r>
      </w:hyperlink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 Відправлення електронного направлення на оцінювання 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основі поданих документів лікуючий лікар створює структуровану електронну форму направлення в </w:t>
      </w:r>
      <w:hyperlink r:id="rId11" w:anchor="n469:~:text=%D0%9F%D0%9E%D0%A0%D0%AF%D0%94%D0%9E%D0%9A%0A%D1%84%D1%83%D0%BD%D0%BA%D1%86%D1%96%D0%BE%D0%BD%D1%83%D0%B2%D0%B0%D0%BD%D0%BD%D1%8F%20%D0%B5%D0%BB%D0%B5%D0%BA%D1%82%D1%80%D0%BE%D0%BD%D0%BD%D0%BE%D1%97%20%D1%81%D0%B8%D1%81%D1%82%D0%B5%D0%BC%D0%B8" w:history="1">
        <w:r w:rsidRPr="00BB3A8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електронній системі</w:t>
        </w:r>
      </w:hyperlink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прикріплює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неї всі документи пацієнта. Електронна система є безоплатною і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доступною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закладам охорони здоровʼя усіх форм власності (державної, комунальної, приватної).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формі міститься необхідна інформація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причини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мету направлення на оцінювання. Разом із лікарем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обирається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бажана</w:t>
      </w: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проведення оцінювання відповідно до затверджених </w:t>
      </w:r>
      <w:hyperlink r:id="rId12" w:anchor="n469:~:text=%D0%9A%D0%A0%D0%98%D0%A2%D0%95%D0%A0%D0%86%D0%87%0A%D0%B2%D0%B8%D0%B7%D0%BD%D0%B0%D1%87%D0%B5%D0%BD%D0%BD%D1%8F%20%D1%84%D0%BE%D1%80%D0%BC%D0%B8%20%D0%BF%D1%80%D0%BE%D0%B2%D0%B5%D0%B4%D0%B5%D0%BD%D0%BD%D1%8F%20%D0%BE%D1%86%D1%96%D0%BD%D1%8E%D0" w:history="1">
        <w:r w:rsidRPr="00BB3A8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критеріїв</w:t>
        </w:r>
      </w:hyperlink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D732D" w:rsidRPr="00BB3A8C" w:rsidRDefault="00ED732D" w:rsidP="00ED732D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Очна</w:t>
      </w: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 особистої присутності особи.</w:t>
      </w:r>
    </w:p>
    <w:p w:rsidR="00ED732D" w:rsidRPr="00BB3A8C" w:rsidRDefault="00ED732D" w:rsidP="00ED732D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Заочна</w:t>
      </w: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без особистої присутності.</w:t>
      </w:r>
    </w:p>
    <w:p w:rsidR="00ED732D" w:rsidRPr="00BB3A8C" w:rsidRDefault="00ED732D" w:rsidP="00ED732D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використанням </w:t>
      </w: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телемедицини</w:t>
      </w: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через засоби дистанційного звʼязку.</w:t>
      </w:r>
    </w:p>
    <w:p w:rsidR="00ED732D" w:rsidRPr="00BB3A8C" w:rsidRDefault="00ED732D" w:rsidP="00ED732D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Виїзна</w:t>
      </w: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ісцем перебування або лікування особи.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 пацієнт разом із лі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карем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обирає заклад охорони здоровʼя з відповідною експертною командою для проведення оцінювання.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переліком закладів та профілями експертних команд можна ознайомитись на </w:t>
      </w:r>
      <w:hyperlink r:id="rId13" w:history="1">
        <w:r w:rsidRPr="00BB3A8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дашборді на сайті МОЗ</w:t>
        </w:r>
      </w:hyperlink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кожному закладі існує дві і більше команд одного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ілю. Пацієнт може пройти оцінювання в закладі незалежно від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ісця реєстрації. На одного пацієнта може існувати лише одна чинна справа.  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 разі відсутності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техн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ічної можливості використовувати електронну систему, інформація про що оприлюднюється на вебсайті МОЗ, опрацювання направлень, документів та процес оцінювання здійснюються із застосуванням паперового документообігу </w:t>
      </w:r>
      <w:hyperlink r:id="rId14" w:history="1">
        <w:r w:rsidRPr="00BB3A8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shd w:val="clear" w:color="auto" w:fill="FFFFFF"/>
            <w:lang w:eastAsia="ru-RU"/>
          </w:rPr>
          <w:t>за формами, встановленими МОЗ</w:t>
        </w:r>
      </w:hyperlink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Після появи технічної можливості такі рішення та документи підлягають негайному внесенню до системи.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4. Перевірка документів </w:t>
      </w:r>
      <w:proofErr w:type="gramStart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адм</w:t>
      </w:r>
      <w:proofErr w:type="gramEnd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іністратором закладу, куди направлено на оцінювання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іністратор закладу охорони здоров'я отримає сформоване вашим лікарем направлення, перевірить його та додані до нього документи на повноту і відповідність вимогам, зокрема в частині відповідності форми розгляду та критеріям направлення на оцінювання. 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іністратор має право повернути документи лікуючому лікарю для доопрацювання у разі:</w:t>
      </w:r>
    </w:p>
    <w:p w:rsidR="00ED732D" w:rsidRPr="00BB3A8C" w:rsidRDefault="00ED732D" w:rsidP="00ED732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наявності помилок;</w:t>
      </w:r>
    </w:p>
    <w:p w:rsidR="00ED732D" w:rsidRPr="00BB3A8C" w:rsidRDefault="00ED732D" w:rsidP="00ED732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невідповідності критеріям направлення на оцінювання;</w:t>
      </w:r>
    </w:p>
    <w:p w:rsidR="00ED732D" w:rsidRPr="00BB3A8C" w:rsidRDefault="00ED732D" w:rsidP="00ED732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відсутності необхідних документів, що повинні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бути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додані до направлення, зазначених у </w:t>
      </w:r>
      <w:hyperlink r:id="rId15" w:anchor="n214" w:history="1">
        <w:r w:rsidRPr="00BB3A8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пунктах 21 і 22</w:t>
        </w:r>
      </w:hyperlink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Порядку проведення оцінювання повсякденного функціонування особи;</w:t>
      </w:r>
    </w:p>
    <w:p w:rsidR="00ED732D" w:rsidRPr="00BB3A8C" w:rsidRDefault="00ED732D" w:rsidP="00ED732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неналежної якості копій документі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які додані до направлення, що унеможливлює ознайомлення з ними.</w:t>
      </w:r>
    </w:p>
    <w:p w:rsidR="00ED732D" w:rsidRPr="00BB3A8C" w:rsidRDefault="00ED732D" w:rsidP="00ED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таких випадках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іністратор повертає документи протягом 5 робочих днів з моменту їх надходження із зазначенням причини повернення.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ісля усунення недоліків лікуючий лікар може повторно направити документи до цього ж закладу або до іншого, де наявна відповідна до справи команда.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Якщо справа якісно оформлена та відповідає критеріям, то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іністратор зазначає розмір справи (кількість сторінок медичних документів) та часовий інтервал, необхідний для розгляду, а також відмічає справу в електронній системі як готову до постановки в чергу на оцінювання.</w:t>
      </w: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5. Постановка в електронну чергу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Розгляд справ здійснюється в порядку черговості на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ідставі електронної черги, яку формує електронна система. Розподіл справ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командами відбувається за принципом випадковості. 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Система обирає експертну команду відповідно до співпадіння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проф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ілю команди та основного діагнозу, і доступності часу, який необхідний для розгляду. 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 подальшому протягом 2025 року буде запроваджено функціонал, де склад команди формуватиметься індивідуально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кожного випадку відповідно до основного та супутніх діагнозів пацієнта. 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ісля постановки в чергу, до </w:t>
      </w: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дня розгляду справи ані адміністратор, ані члени команди не знатимуть чию справу вони будуть розглядати. Так само пацієнт не матиме доступу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персонального складу команди, що проводитиме оцінювання.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6. Повідомлення про дату та час розгляду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ісля прийняття адміністратором направлення до розгляду інформація про форму, дату та час розгляду надсилається: </w:t>
      </w:r>
    </w:p>
    <w:p w:rsidR="00ED732D" w:rsidRPr="00BB3A8C" w:rsidRDefault="00ED732D" w:rsidP="00ED732D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пацієнту або довіреній особі пацієнта на зазначену в направленні адресу електронної пошти або рекомендованим листом (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разі відсутності електронної пошти);</w:t>
      </w:r>
    </w:p>
    <w:p w:rsidR="00ED732D" w:rsidRPr="00BB3A8C" w:rsidRDefault="00ED732D" w:rsidP="00ED732D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електронній системі для лі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каря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який направив.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7. Проведення оцінювання експертною командою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оцінювання членам експертної команди відкривається доступ до справи та даних особи. Лікарі мають ознайомитись з документами справи та ідентифікувати особу, якій проводиться оцінювання,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іривши документи, що посвідчують особу. Також лікарі мають зазначити відсутність конфлікту інтересів щодо особи, якій проводиться оцінювання. 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 час оцінювання формується протокол, де фіксується позиція кожного лікаря в команді з кожного питання, після чого приймається колегіальне рішення. 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призначений час оцінювання </w:t>
      </w: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експертна команда:</w:t>
      </w:r>
    </w:p>
    <w:p w:rsidR="00ED732D" w:rsidRPr="00BB3A8C" w:rsidRDefault="00ED732D" w:rsidP="00ED732D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оцінювання повсякденного функціонування (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досл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іджує всі надані документи, а також відповідні медичні записи, що підтверджують стан здоров’я особи, щодо якої проводиться оцінювання);</w:t>
      </w:r>
    </w:p>
    <w:p w:rsidR="00ED732D" w:rsidRPr="00BB3A8C" w:rsidRDefault="00ED732D" w:rsidP="00ED732D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приймає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ішення відповідно до зазначеної у направленні на оцінювання мети, наприклад щодо встановлення чи не встановлення інвалідності.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Прийняте рішення в електронній системі мають підписати усі члени команди за допомогою електронних підписів. У разі складення експертною командою документів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паперовій формі такі документи підписуються всіма членами команди.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Справа може бути</w:t>
      </w: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 розглянута або її розгляд призупинено</w:t>
      </w: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випадках: </w:t>
      </w: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D732D" w:rsidRPr="00BB3A8C" w:rsidRDefault="00ED732D" w:rsidP="00ED732D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Форс-мажору, як-то тривала повітряна тривога, обстріл, мінування тощо.</w:t>
      </w:r>
    </w:p>
    <w:p w:rsidR="00ED732D" w:rsidRPr="00BB3A8C" w:rsidRDefault="00ED732D" w:rsidP="00ED732D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 пацієнт не зʼявився на очне, дистанційне або виїзне оцінювання.</w:t>
      </w:r>
    </w:p>
    <w:p w:rsidR="00ED732D" w:rsidRPr="00BB3A8C" w:rsidRDefault="00ED732D" w:rsidP="00ED732D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Конфлікту інтересів у лі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каря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щодо особи, якій проводять оцінювання.</w:t>
      </w:r>
    </w:p>
    <w:p w:rsidR="00ED732D" w:rsidRPr="00BB3A8C" w:rsidRDefault="00ED732D" w:rsidP="00ED732D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Направлення на додаткові медичні обстеження. </w:t>
      </w:r>
    </w:p>
    <w:p w:rsidR="00ED732D" w:rsidRPr="00BB3A8C" w:rsidRDefault="00ED732D" w:rsidP="00ED732D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Потреби в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івній справі МСЕК (щодо оригіналів причинно-наслідкових документів).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8. Можливість направлення на додаткові обстеження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разі потреби експертна команда може направити особу на додаткове медичне обстеження. Така можливість дозволяється лише </w:t>
      </w: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один раз</w:t>
      </w: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щоб не затягувати прийняття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ішення, крім випадків коли за результатами такого обстеження було виявлено нові, не зазначені в доданій до направлення медичній документації, стани, діагнози або порушення структури та функцій організму, що потребують додаткового обстеження.</w:t>
      </w: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 час очікування результату додаткового медичного обстеження розгляд справи призупиняється.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ішення у справі приймається після отримання та врахування результатів додаткового обстеження. Подальший розгляд може проводитись без обовʼязкової присутності пацієнта. 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9. Права особи </w:t>
      </w:r>
      <w:proofErr w:type="gramStart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</w:t>
      </w:r>
      <w:proofErr w:type="gramEnd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ід час оцінювання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Особа має право</w:t>
      </w: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gramStart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</w:t>
      </w:r>
      <w:proofErr w:type="gramEnd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ім заочної форми розгляду)</w:t>
      </w: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D732D" w:rsidRPr="00BB3A8C" w:rsidRDefault="00ED732D" w:rsidP="00ED732D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Самостійно здійснювати </w:t>
      </w:r>
      <w:proofErr w:type="gramStart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</w:t>
      </w:r>
      <w:proofErr w:type="gramEnd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іо- чи відеозапис</w:t>
      </w: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процесу оцінювання.</w:t>
      </w:r>
    </w:p>
    <w:p w:rsidR="00ED732D" w:rsidRPr="00BB3A8C" w:rsidRDefault="00ED732D" w:rsidP="00ED732D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Залучити уповноваженого представника, подавши відповідну заяву лікарю, який формує направлення на оцінювання.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10. Терміни розгляду справи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Розгляд справи експертною командою повинен бути завершений </w:t>
      </w: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 </w:t>
      </w:r>
      <w:proofErr w:type="gramStart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ізніше 30 календарних днів з дня прийняття закладом охорони здоров’я електронного направлення до розгляду </w:t>
      </w: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(позначка адміністратора, що справа готова до постановки в чергу)</w:t>
      </w: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ішення приймаються експертною командою в день розгляду справи, крім випадків необхідності проведення додаткового обстеження або зміни складу експертної команди.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11. Прийняття </w:t>
      </w:r>
      <w:proofErr w:type="gramStart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</w:t>
      </w:r>
      <w:proofErr w:type="gramEnd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ішення та його структура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результатами оцінювання експертна команда </w:t>
      </w: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приймає </w:t>
      </w:r>
      <w:proofErr w:type="gramStart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ішення щодо встановлення чи невстановлення (або визначення):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D732D" w:rsidRPr="00BB3A8C" w:rsidRDefault="00ED732D" w:rsidP="00ED732D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ступеня обмеження життєдіяльності особи;</w:t>
      </w:r>
    </w:p>
    <w:p w:rsidR="00ED732D" w:rsidRPr="00BB3A8C" w:rsidRDefault="00ED732D" w:rsidP="00ED732D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 у продовженні тимчасової непрацездатності та в разі її продовження головуючий у справі формує відповідний медвисновок;</w:t>
      </w:r>
    </w:p>
    <w:p w:rsidR="00ED732D" w:rsidRPr="00BB3A8C" w:rsidRDefault="00ED732D" w:rsidP="00ED732D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інвалідності, фіксації причин та часу її настання;</w:t>
      </w:r>
    </w:p>
    <w:p w:rsidR="00ED732D" w:rsidRPr="00BB3A8C" w:rsidRDefault="00ED732D" w:rsidP="00ED732D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ступеня втрати професійної працездатності (у відсотках);</w:t>
      </w:r>
    </w:p>
    <w:p w:rsidR="00ED732D" w:rsidRPr="00BB3A8C" w:rsidRDefault="00ED732D" w:rsidP="00ED732D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наявності медичних показань на право одержання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особою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інвалідністю або дитиною з інвалідністю, яка має порушення опорно-рухового апарату, автомобіля і протипоказання до керування ним;</w:t>
      </w:r>
    </w:p>
    <w:p w:rsidR="00ED732D" w:rsidRPr="00BB3A8C" w:rsidRDefault="00ED732D" w:rsidP="00ED732D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потреби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постійному догляді;</w:t>
      </w:r>
    </w:p>
    <w:p w:rsidR="00ED732D" w:rsidRPr="00BB3A8C" w:rsidRDefault="00ED732D" w:rsidP="00ED732D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потреби в отриманні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іальної, психолого-педагогічної, професійної, трудової та/або фізкультурно-спортивної реабілітації;</w:t>
      </w:r>
    </w:p>
    <w:p w:rsidR="00ED732D" w:rsidRPr="00BB3A8C" w:rsidRDefault="00ED732D" w:rsidP="00ED732D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обсягів та видів необхідних допоміжних засобів реабілітації та/або медичних виробі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D732D" w:rsidRPr="00BB3A8C" w:rsidRDefault="00ED732D" w:rsidP="00ED732D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 в отриманні реабілітаційної допомоги у сфері охорони здоров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’я та в разі визначення такої потреби головуючий формує електронне направлення для її надання;</w:t>
      </w:r>
    </w:p>
    <w:p w:rsidR="00ED732D" w:rsidRPr="00BB3A8C" w:rsidRDefault="00ED732D" w:rsidP="00ED732D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ступеня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ійкого обмеження життєдіяльності для направлення їх у стаціонарні відділення центрів соціального обслуговування;</w:t>
      </w:r>
    </w:p>
    <w:p w:rsidR="00ED732D" w:rsidRPr="00BB3A8C" w:rsidRDefault="00ED732D" w:rsidP="00ED732D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причини смерті особи з інвалідністю або особи, ступінь втрати працездатності якої визначений експертною командою у відсотках на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ідставі свідоцтва про смерть у разі, коли законодавством передбачається надання пільг членам сім’ї померлого.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Якщо було встановлено інвалідність, то в рамках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ішення буде також сформовано </w:t>
      </w: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рекомендації, які є медичною частиною індивідуальної програми реабілітації</w:t>
      </w: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 них буде відображена потреба особи в допоміжних засобах реабілітації, медичних виробах та необхідність отримання послуг в інших сферах її життя.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 рекомендації діють протягом усього строку, на який встановлено інвалідність.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 визначення потреби в отриманні послуг в інших сферах, то</w:t>
      </w: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рекомендації міститимуть такі складові: </w:t>
      </w:r>
    </w:p>
    <w:p w:rsidR="00ED732D" w:rsidRPr="00BB3A8C" w:rsidRDefault="00ED732D" w:rsidP="00ED732D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Медична</w:t>
      </w: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потреба в отриманні реабілітації в сфері охорони здоров'я (при цьому, якщо така потреба виявлена ще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 час розгляду, пацієнтові буде сформовано електронне направлення на цю послугу), потреба у забезпеченні допоміжними засобами реабілітації та медичними виробами, санаторно-курортному лікуванні.</w:t>
      </w:r>
    </w:p>
    <w:p w:rsidR="00ED732D" w:rsidRPr="00BB3A8C" w:rsidRDefault="00ED732D" w:rsidP="00ED732D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</w:t>
      </w:r>
      <w:proofErr w:type="gramEnd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іальна</w:t>
      </w: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визначає потребу в соціальній і побутовій реабілітації, а також надає рекомендації звернутися до інших уповноважених органів для вирішення питання щодо призначення державної допомоги або пенсії з інвалідності, потреби в проведенні оцінки щодо отримання соціальних послуг.</w:t>
      </w:r>
    </w:p>
    <w:p w:rsidR="00ED732D" w:rsidRPr="00BB3A8C" w:rsidRDefault="00ED732D" w:rsidP="00ED732D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Трудова</w:t>
      </w: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визначає потребу у визначенні можливого облаштування робочого місця, в професійній і трудовій реабілітації та загальні обмеження в професійній діяльності, що можуть значно вплинути на погіршення здоров’я; надає рекомендації звернутися до центру зайнятості або онлайн для отримання безоплатних послуг з профорієнтації, перенавчання тощо.</w:t>
      </w:r>
      <w:proofErr w:type="gramEnd"/>
    </w:p>
    <w:p w:rsidR="00ED732D" w:rsidRPr="00BB3A8C" w:rsidRDefault="00ED732D" w:rsidP="00ED732D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Освітня</w:t>
      </w: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визначає потребу в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ічній реабілітації, а також рекомендація звернутися до інклюзивно-ресурсного центру для проведення комплексної психолого-педагогічної оцінки розвитку особи.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разі проведення очного або виїзного розгляду справи роздрукована форма прийнятого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ішення та рекомендації у зв’язку з прийнятим рішенням, які є частиною індивідуальної програми реабілітації (у разі встановлення інвалідності), надаються людині на підпис.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Важливо:</w:t>
      </w:r>
    </w:p>
    <w:p w:rsidR="00ED732D" w:rsidRPr="00BB3A8C" w:rsidRDefault="00ED732D" w:rsidP="00ED732D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Датою встановлення інвалідності вважається дата надходження до експертної команди направлення на проведення оцінювання </w:t>
      </w: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(позначка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іністратора, що справа готова до постановки в чергу)</w:t>
      </w: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D732D" w:rsidRPr="00BB3A8C" w:rsidRDefault="00ED732D" w:rsidP="00ED732D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разі встановлення інвалідності особі, яка знаходиться на тимчасовій непрацездатності (у якої сформований МВТН) датою встановлення інвалідності </w:t>
      </w: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вважається дата огляду особи (з метою запобігання дублювання тимчасової та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ійкої втрати працездатності на одні і ті ж дати).</w:t>
      </w:r>
    </w:p>
    <w:p w:rsidR="00ED732D" w:rsidRPr="00BB3A8C" w:rsidRDefault="00ED732D" w:rsidP="00ED732D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разі якщо строк повторного огляду особою з інвалідністю пропущено з поважних причин або в разі визнання її знову особою з інвалідністю виплата пенсії з інвалідності відновлюється з дня, з якого припинено виплату, до дня повторного огляду, але не більш як за три роки, якщо експертна команда визнає її за цей період особою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 інвалідністю. При цьому якщо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ід час повторного огляду особи з інвалідністю переведено на іншу групу інвалідності (вищу або нижчу), пенсія за зазначений період виплачується за попередньою групою інвалідності.</w:t>
      </w:r>
    </w:p>
    <w:p w:rsidR="00ED732D" w:rsidRPr="00BB3A8C" w:rsidRDefault="00ED732D" w:rsidP="00ED732D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разі встановлення інвалідності особам, які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перебуваючи безпосередньо в районах антитерористичної операції у період її проведення, під час безпосередньої участі у здійсненні заходів із забезпечення національної безпеки і оборони, відсічі і стримування збройної агрес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ії Р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осійської Федерації у Донецькій та Луганській областях, забезпечення їх здійснення,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осійської Федерації проти України, перебуваючи безпосередньо в районах та у період здійснення зазначених заходів, отримали ушкодження, які призвели до </w:t>
      </w: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необоротної втрати (у тому числі ампутації) верхніх та/або нижніх кінцівок (їх частин), необоротної втрати іншого органу або повної </w:t>
      </w:r>
      <w:proofErr w:type="gramStart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ст</w:t>
      </w:r>
      <w:proofErr w:type="gramEnd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ійкої втрати органом його функцій,</w:t>
      </w: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група інвалідності встановлюється без зазначення строку повторного огляду (безстроково) та на ступінь вище визначених законодавством критеріїв встановлення групи інвалідності, але не вище I групи.</w:t>
      </w: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12. Надсилання </w:t>
      </w:r>
      <w:proofErr w:type="gramStart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</w:t>
      </w:r>
      <w:proofErr w:type="gramEnd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ішення експертної команди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ісля завершення оцінювання</w:t>
      </w: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витяг з рішення експертної команди надсилається:</w:t>
      </w:r>
    </w:p>
    <w:p w:rsidR="00ED732D" w:rsidRPr="00BB3A8C" w:rsidRDefault="00ED732D" w:rsidP="00ED732D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адресу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електронної пошти людини, яка проходила оцінювання;</w:t>
      </w:r>
    </w:p>
    <w:p w:rsidR="00ED732D" w:rsidRPr="00BB3A8C" w:rsidRDefault="00ED732D" w:rsidP="00ED732D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разі відсутності електронної пошти рекомендованим листом на адресу задекларованого/зареєстрованого місця проживання (перебування);</w:t>
      </w:r>
    </w:p>
    <w:p w:rsidR="00ED732D" w:rsidRPr="00BB3A8C" w:rsidRDefault="00ED732D" w:rsidP="00ED732D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електронній системі для лікаря, який направив на оцінювання (за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запитом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людини він може роздрукувати та надати їй у паперовій формі, завіривши печаткою закладу охорони здоровʼя).</w:t>
      </w:r>
    </w:p>
    <w:p w:rsidR="00ED732D" w:rsidRPr="00BB3A8C" w:rsidRDefault="00ED732D" w:rsidP="00ED732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13. Обмін даними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Інформація з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ішення буде передаватися через електронну систему до Міністерства соціальної політики України для подальшого використання при призначенні пенсії або соціальних виплат, забезпеченні </w:t>
      </w:r>
      <w:hyperlink r:id="rId16" w:anchor="Text" w:history="1">
        <w:r w:rsidRPr="00BB3A8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допоміжними засобами реабілітації</w:t>
        </w:r>
      </w:hyperlink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або соціальними послугами. 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Також у разі встановлення інвалідності або ступеня втрати працездатності експертна команда повідомляє територіальному центру комплектування та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іальної підтримки про призовників та військовозобов’язаних.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14. Подальші дії </w:t>
      </w:r>
      <w:proofErr w:type="gramStart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</w:t>
      </w:r>
      <w:proofErr w:type="gramEnd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ісля отримання рішення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ісля отримання витягу з рішення експертної команди процес реалізації прав починається із самостійного звернення особи до відповідних установ залежно від ваших потреб, зокрема:</w:t>
      </w:r>
    </w:p>
    <w:p w:rsidR="00ED732D" w:rsidRPr="00BB3A8C" w:rsidRDefault="00ED732D" w:rsidP="00ED732D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Територіальний фонд </w:t>
      </w:r>
      <w:proofErr w:type="gramStart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</w:t>
      </w:r>
      <w:proofErr w:type="gramEnd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іальної підтримки осіб з інвалідністю</w:t>
      </w: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для отримання допоміжних засобів реабілітації (ДЗР).</w:t>
      </w:r>
    </w:p>
    <w:p w:rsidR="00ED732D" w:rsidRPr="00BB3A8C" w:rsidRDefault="00ED732D" w:rsidP="00ED732D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Територіальний центр комплектування та </w:t>
      </w:r>
      <w:proofErr w:type="gramStart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</w:t>
      </w:r>
      <w:proofErr w:type="gramEnd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іальної підтримки (ТЦК та СП)</w:t>
      </w: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для оформлення відстрочки від мобілізації (за потреби).</w:t>
      </w:r>
    </w:p>
    <w:p w:rsidR="00ED732D" w:rsidRPr="00BB3A8C" w:rsidRDefault="00ED732D" w:rsidP="00ED732D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Пенсійний фонд України (ПФУ)</w:t>
      </w: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для призначення або подовження виплат пенсії в разі її нарахування.</w:t>
      </w:r>
    </w:p>
    <w:p w:rsidR="00ED732D" w:rsidRPr="00BB3A8C" w:rsidRDefault="00ED732D" w:rsidP="00ED732D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Управління </w:t>
      </w:r>
      <w:proofErr w:type="gramStart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</w:t>
      </w:r>
      <w:proofErr w:type="gramEnd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іального захисту населення (УСЗН)</w:t>
      </w: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для призначення або подовження державної допомоги для осіб з інвалідністю з дитинства та соціальних виплат і пільг, пов’язаних із доглядом за особою з інвалідністю.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 звернення необхідні для реалізації прав, передбачених законодавством, та забезпечення всебічної підтримки.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15. Оскарження </w:t>
      </w:r>
      <w:proofErr w:type="gramStart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</w:t>
      </w:r>
      <w:proofErr w:type="gramEnd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ішення експертної команди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Якщо людина не згодна з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ішенням експертної команди, вона має право його оскаржити. Необхідно звернутись самостійно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Центру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оцінювання функціонального стану осіб — для цього потрібно надіслати скаргу в паперовій формі на адресу </w:t>
      </w:r>
      <w:hyperlink r:id="rId17" w:history="1">
        <w:r w:rsidRPr="00BB3A8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Центру оцінювання функціонального стану особи</w:t>
        </w:r>
      </w:hyperlink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Розгляд оскаржень проводитимуть експертні команди центру,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складу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яких входитимуть лікарі з державних закладів охорони здоровʼя з усієї країни.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Ця процедура забезпечує право особи на перегляд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ішення та гарантуватиме об'єктивність і справедливість процесу.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Особливі випадки: перебування за кордоном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Якщо громадянин України перебуває за кордоном у державі, з якою укладено міждержавні договори (угоди) про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іальне забезпечення, для оцінювання повсякденного функціонування медичні формуляри надає уповноважений орган країни перебування.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 формуляри передаються до Пенсійного фонду України, який далі направляє їх до Міністерства охорони здоров’я для проведення оцінювання. </w:t>
      </w: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Такі медичні документи перекладає </w:t>
      </w:r>
      <w:hyperlink r:id="rId18" w:history="1">
        <w:r w:rsidRPr="00BB3A8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Центр оцінювання функціонального стану особи</w:t>
        </w:r>
      </w:hyperlink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та забезпечує проведення оцінювання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таких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громадян. 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Громадяни України, які перебувають на території інших держав, надсилають (передають)  лікуючому лікарю медичні документи, перекладені українською мовою та завірені у належний спосіб, які містять інформацію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D732D" w:rsidRPr="00BB3A8C" w:rsidRDefault="00ED732D" w:rsidP="00ED732D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діагноз з використанням Міжнародної класифікації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хвороб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десятого перегляду (МКХ-10);</w:t>
      </w:r>
    </w:p>
    <w:p w:rsidR="00ED732D" w:rsidRPr="00BB3A8C" w:rsidRDefault="00ED732D" w:rsidP="00ED732D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ступінь функціональних порушень;</w:t>
      </w:r>
    </w:p>
    <w:p w:rsidR="00ED732D" w:rsidRPr="00BB3A8C" w:rsidRDefault="00ED732D" w:rsidP="00ED732D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дані лабораторних та функціональних обстежень, виписки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ісля стаціонарного лікування, консультативні висновки тощо).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Документи, видані закладами охорони здоров’я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осійської Федерації чи Республіки Білорусь, до розгляду не приймаються.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Документи, їх переклади можуть бути надіслані поштою або надані лікуючому лікарю в Україні за допомогою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техн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ічних засобів електронних комунікацій (електронна пошта тощо). На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ідставі них лікар приймає рішення щодо необхідності направлення на оцінювання.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Також за вчинення нотаріальних дій консульськими установами України за кордоном щодо засвідчення правильності перекладу на українську мову документів, необхідних для направлення на оцінювання, консульський збі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 справляється.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ішення про встановлення інвалідності буде прийматися експертними командами під час заочного розгляду справи за результатами медичного обстеження в країні перебування. 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Чинність документів, виданих МСЕК до 31 грудня 2024 року 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Усі документи (довідки, акти, висновки, індивідуальні програми реабілітації), які були видані МСЕК до 31 грудня 2024 року, залишаються чинними та є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ідставами для отримання визначених законодавством гарантій, піль, виплат, допомоги, відстрочок тощо.</w:t>
      </w:r>
    </w:p>
    <w:p w:rsidR="00ED732D" w:rsidRPr="00BB3A8C" w:rsidRDefault="00ED732D" w:rsidP="00ED732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Повторні огляди та оцінювання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Щодо проходження повторних оглядів: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 усі, хто має обмеження повсякденного функціонування,</w:t>
      </w: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тобто законні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ідстави для статусу інвалідності, проходитимуть оцінювання експертною командою лікарів-практиків у передбачений строк;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 якщо інвалідність встановлено безстроково</w:t>
      </w: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оцінювання проходити не обов'язково, лише за власним бажанням: усі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ільги, гарантії та виплати залишаються в силі;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3) якщо людина протягом 2022-2024 років </w:t>
      </w:r>
      <w:proofErr w:type="gramStart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мала</w:t>
      </w:r>
      <w:proofErr w:type="gramEnd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пройти повторний огляд, але не змогла його пройти з поважних причин</w:t>
      </w: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відповідно до винятків, передбачених у законодавстві на час воєнного стану, то його потрібно буде пройти:</w:t>
      </w:r>
    </w:p>
    <w:p w:rsidR="00ED732D" w:rsidRPr="00BB3A8C" w:rsidRDefault="00ED732D" w:rsidP="00ED732D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чоловікам 25-60 років з 2 або 3 групою інвалідності – до 1 листопада 2025 року;</w:t>
      </w:r>
    </w:p>
    <w:p w:rsidR="00ED732D" w:rsidRPr="00BB3A8C" w:rsidRDefault="00ED732D" w:rsidP="00ED732D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усі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іншим пацієнтам (за винятком перелічених нижче випадків) – до 1 квітня 2026 року.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Винятки — неможливість </w:t>
      </w:r>
      <w:proofErr w:type="gramStart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повторного</w:t>
      </w:r>
      <w:proofErr w:type="gramEnd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огляду з таких причин:</w:t>
      </w:r>
    </w:p>
    <w:p w:rsidR="00ED732D" w:rsidRPr="00BB3A8C" w:rsidRDefault="00ED732D" w:rsidP="00ED732D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 перебувають на територіях, на яких ведуться бойові дії, або на тимчасово окупованих територіях;</w:t>
      </w:r>
    </w:p>
    <w:p w:rsidR="00ED732D" w:rsidRPr="00BB3A8C" w:rsidRDefault="00ED732D" w:rsidP="00ED732D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пацієнти з важкими порушеннями функцій організму (не мають кінцівки або якогось з парних органі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чують або не бачать, мають онкологічне або психічне захворювання);</w:t>
      </w:r>
    </w:p>
    <w:p w:rsidR="00ED732D" w:rsidRPr="00BB3A8C" w:rsidRDefault="00ED732D" w:rsidP="00ED732D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чинні військовослужбовці ЗСУ та інших військових формувань – для них статус інвалідності залишається чинним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період проходження військової служби та протягом 60 днів з дати звільнення зі служби.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4) якщо </w:t>
      </w:r>
      <w:proofErr w:type="gramStart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ваш</w:t>
      </w:r>
      <w:proofErr w:type="gramEnd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 документи були вже в МСЕК і призначена дата засідання у 2025 році: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такому випадку справу передано до визначеного закладу охорони здоровʼя, де працюють експертні команди. Розгляд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справи в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ідбудеться в день, який був призначений до цього МСЕК. При цьому обовʼязково повідомлять нову адресу, де відбудеться оцінювання.</w:t>
      </w:r>
    </w:p>
    <w:p w:rsidR="00ED732D" w:rsidRPr="00BB3A8C" w:rsidRDefault="00ED732D" w:rsidP="00ED732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 інвалідність була встановлена безстроково, І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залишається чинною безстроково. Проте якщо є потреба оновити перелік заходів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ІПР, людина може з цією метою звернутися до лікуючого лікаря для направлення на оцінювання.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Якщо інвалідність була встановлена тимчасово, документи та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ішення МСЕК чинні до завершення строку, на який встановлена інвалідність або до проведення оцінювання повсякденного функціонування.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Подальше оцінювання 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Подальше оцінювання (повторні огляди) є важливою складовою системи оцінювання повсякденного функціонування особи, адже воно дозволяє переглянути стан здоров’я, визначити прогрес або потребу в коригуванні рекомендацій та оновити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ішення щодо встановлення інвалідності.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Повторне оцінювання проводиться, якщо:</w:t>
      </w:r>
    </w:p>
    <w:p w:rsidR="00ED732D" w:rsidRPr="00BB3A8C" w:rsidRDefault="00ED732D" w:rsidP="00ED732D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Закінчився строк дії попереднього </w:t>
      </w:r>
      <w:proofErr w:type="gramStart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ішення.</w:t>
      </w: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Наприклад, якщо інвалідність була встановлена тимчасово, до певної дати.</w:t>
      </w:r>
    </w:p>
    <w:p w:rsidR="00ED732D" w:rsidRPr="00BB3A8C" w:rsidRDefault="00ED732D" w:rsidP="00ED732D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Є зміни </w:t>
      </w:r>
      <w:proofErr w:type="gramStart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proofErr w:type="gramEnd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</w:t>
      </w:r>
      <w:proofErr w:type="gramEnd"/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 здоров’я.</w:t>
      </w: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зверненням особи лікуючий лікар формує направлення, якщо відбулися суттєві покращення чи погіршення стану здоров’я.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 повторного оцінювання не ві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ізняється від процесу проведення первинного оцінювання. </w:t>
      </w:r>
    </w:p>
    <w:p w:rsidR="00ED732D" w:rsidRPr="00BB3A8C" w:rsidRDefault="00ED732D" w:rsidP="00ED732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 отримати допоміжні засоби реабілітації?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 ваша І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чинна і не потребує змін, допоміжні засоби можна отримати без звернення до експертної команди – варто звернутися до:</w:t>
      </w:r>
    </w:p>
    <w:p w:rsidR="00ED732D" w:rsidRPr="00BB3A8C" w:rsidRDefault="00ED732D" w:rsidP="00ED732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органу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іального захисту населення;</w:t>
      </w:r>
    </w:p>
    <w:p w:rsidR="00ED732D" w:rsidRPr="00BB3A8C" w:rsidRDefault="00ED732D" w:rsidP="00ED732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уповноваженої посадової особи з питань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іального захисту виконавчого органу сільської, селищної, міської ради;</w:t>
      </w:r>
    </w:p>
    <w:p w:rsidR="00ED732D" w:rsidRPr="00BB3A8C" w:rsidRDefault="00ED732D" w:rsidP="00ED732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центру надання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іністративних послуг (ЦНАП);</w:t>
      </w:r>
    </w:p>
    <w:p w:rsidR="00ED732D" w:rsidRPr="00BB3A8C" w:rsidRDefault="00ED732D" w:rsidP="00ED732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через електронний кабінет особи з інвалідністю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банку даних;</w:t>
      </w:r>
    </w:p>
    <w:p w:rsidR="00ED732D" w:rsidRPr="00BB3A8C" w:rsidRDefault="00ED732D" w:rsidP="00ED732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через Єдиний державний вебпортал електронних послуг (за наявності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ічної можливості);</w:t>
      </w:r>
    </w:p>
    <w:p w:rsidR="00ED732D" w:rsidRPr="00BB3A8C" w:rsidRDefault="00ED732D" w:rsidP="00ED732D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територіального відділення Фонду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іального захисту осіб з інвалідністю (ФСЗІ).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Перехід до нових правил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Нині триває процес передачі паперових направлень на МСЕК, які були прийняті МСЕК до розгляду, проте не були розглянуті в 2024 році або їх розгляд був призначений на 2025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ік. Справи передаються до визначених закладів охорони здоров'я, які вже сформували експертні команди та організовують процес оцінювання.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 команди відповідатимуть за розгляд справ і ухвалення рішень.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Якщо ваші документи були якісно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оформлені з усією необхідною інформацією та вже були </w:t>
      </w: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направлен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і до </w:t>
      </w: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МСЕК, вам не потрібно додатково їх надавати.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ісля опрацювання переданих справ та внесення їх до електронної системи щодо оцінювання повсякденного функціонування особи вам буде повідомлено про дату, час і місце проведення оцінювання.</w:t>
      </w: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випадку некомплектності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справи в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частині нестачі обов'язкових документів, заклад охорони здоровʼя поверне справу до лікуючого лікаря для доопрацювання і внесення вже в електронному вигляді. 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Прозорість і доступність</w:t>
      </w:r>
    </w:p>
    <w:p w:rsidR="00ED732D" w:rsidRPr="00BB3A8C" w:rsidRDefault="00ED732D" w:rsidP="00ED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2D" w:rsidRPr="00BB3A8C" w:rsidRDefault="00ED732D" w:rsidP="00ED7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Реформа впроваджує цифрові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ішення та спрощує процес, робить його прозорим і доступним. Нова система забезпечує </w:t>
      </w:r>
      <w:proofErr w:type="gramStart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B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івний доступ до послуг для всіх громадян, незалежно від місця перебування чи стану здоров’я.</w:t>
      </w:r>
    </w:p>
    <w:p w:rsidR="00A501CF" w:rsidRPr="00BB3A8C" w:rsidRDefault="00A501CF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A501CF" w:rsidRPr="00BB3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798"/>
    <w:multiLevelType w:val="multilevel"/>
    <w:tmpl w:val="B90C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749CD"/>
    <w:multiLevelType w:val="multilevel"/>
    <w:tmpl w:val="01CA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91CCE"/>
    <w:multiLevelType w:val="multilevel"/>
    <w:tmpl w:val="697A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D76921"/>
    <w:multiLevelType w:val="multilevel"/>
    <w:tmpl w:val="ADCA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DB7255"/>
    <w:multiLevelType w:val="multilevel"/>
    <w:tmpl w:val="116E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A56CFC"/>
    <w:multiLevelType w:val="multilevel"/>
    <w:tmpl w:val="76AC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350403"/>
    <w:multiLevelType w:val="multilevel"/>
    <w:tmpl w:val="3F04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877D9B"/>
    <w:multiLevelType w:val="multilevel"/>
    <w:tmpl w:val="CADC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AE535B"/>
    <w:multiLevelType w:val="multilevel"/>
    <w:tmpl w:val="0DE8D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364534"/>
    <w:multiLevelType w:val="multilevel"/>
    <w:tmpl w:val="3650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154C36"/>
    <w:multiLevelType w:val="multilevel"/>
    <w:tmpl w:val="CF8C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B30A0B"/>
    <w:multiLevelType w:val="multilevel"/>
    <w:tmpl w:val="D0DC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F37D8E"/>
    <w:multiLevelType w:val="multilevel"/>
    <w:tmpl w:val="1678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285035"/>
    <w:multiLevelType w:val="multilevel"/>
    <w:tmpl w:val="75F6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C43FB8"/>
    <w:multiLevelType w:val="multilevel"/>
    <w:tmpl w:val="71B0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D267C3"/>
    <w:multiLevelType w:val="multilevel"/>
    <w:tmpl w:val="ECC4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206A0D"/>
    <w:multiLevelType w:val="multilevel"/>
    <w:tmpl w:val="8358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E0299A"/>
    <w:multiLevelType w:val="multilevel"/>
    <w:tmpl w:val="7158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15"/>
  </w:num>
  <w:num w:numId="5">
    <w:abstractNumId w:val="11"/>
  </w:num>
  <w:num w:numId="6">
    <w:abstractNumId w:val="5"/>
  </w:num>
  <w:num w:numId="7">
    <w:abstractNumId w:val="6"/>
  </w:num>
  <w:num w:numId="8">
    <w:abstractNumId w:val="12"/>
  </w:num>
  <w:num w:numId="9">
    <w:abstractNumId w:val="3"/>
  </w:num>
  <w:num w:numId="10">
    <w:abstractNumId w:val="8"/>
  </w:num>
  <w:num w:numId="11">
    <w:abstractNumId w:val="2"/>
  </w:num>
  <w:num w:numId="12">
    <w:abstractNumId w:val="4"/>
  </w:num>
  <w:num w:numId="13">
    <w:abstractNumId w:val="14"/>
  </w:num>
  <w:num w:numId="14">
    <w:abstractNumId w:val="13"/>
  </w:num>
  <w:num w:numId="15">
    <w:abstractNumId w:val="0"/>
  </w:num>
  <w:num w:numId="16">
    <w:abstractNumId w:val="17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9"/>
    <w:rsid w:val="0003299B"/>
    <w:rsid w:val="000D4AAC"/>
    <w:rsid w:val="00204D5C"/>
    <w:rsid w:val="002076F0"/>
    <w:rsid w:val="00214EC8"/>
    <w:rsid w:val="00241A6D"/>
    <w:rsid w:val="002C71D0"/>
    <w:rsid w:val="002F640E"/>
    <w:rsid w:val="00494460"/>
    <w:rsid w:val="004C7F19"/>
    <w:rsid w:val="0051354E"/>
    <w:rsid w:val="00536785"/>
    <w:rsid w:val="005D3304"/>
    <w:rsid w:val="00634A14"/>
    <w:rsid w:val="00780B66"/>
    <w:rsid w:val="00947A21"/>
    <w:rsid w:val="009A3AA5"/>
    <w:rsid w:val="00A501CF"/>
    <w:rsid w:val="00A7632E"/>
    <w:rsid w:val="00AF68AD"/>
    <w:rsid w:val="00B8731F"/>
    <w:rsid w:val="00BB3A8C"/>
    <w:rsid w:val="00BC75A8"/>
    <w:rsid w:val="00C71A4C"/>
    <w:rsid w:val="00D5696B"/>
    <w:rsid w:val="00D6227E"/>
    <w:rsid w:val="00ED732D"/>
    <w:rsid w:val="00E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73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73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73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73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D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73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73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73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73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73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D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73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z.gov.ua/uk/news/it-sistema-ekopfo" TargetMode="External"/><Relationship Id="rId13" Type="http://schemas.openxmlformats.org/officeDocument/2006/relationships/hyperlink" Target="https://moz.gov.ua/uk/ekopfo" TargetMode="External"/><Relationship Id="rId18" Type="http://schemas.openxmlformats.org/officeDocument/2006/relationships/hyperlink" Target="https://ndimspi.gov.ua/tsentr-otsiniuvanni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1338-2024-%D0%BF" TargetMode="External"/><Relationship Id="rId12" Type="http://schemas.openxmlformats.org/officeDocument/2006/relationships/hyperlink" Target="https://zakon.rada.gov.ua/laws/show/1338-2024-%D0%BF" TargetMode="External"/><Relationship Id="rId17" Type="http://schemas.openxmlformats.org/officeDocument/2006/relationships/hyperlink" Target="https://ndimspi.gov.ua/tsentr-otsiniuvanni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321-2012-%D0%B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oz.gov.ua/uk/hto-takij-likuyuchij-likar-i-yaku-rol-vin-vidigraye-u-novij-sistemi-ocinyuvannya" TargetMode="External"/><Relationship Id="rId11" Type="http://schemas.openxmlformats.org/officeDocument/2006/relationships/hyperlink" Target="https://zakon.rada.gov.ua/laws/show/1338-2024-%D0%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1338-2024-%D0%BF" TargetMode="External"/><Relationship Id="rId10" Type="http://schemas.openxmlformats.org/officeDocument/2006/relationships/hyperlink" Target="https://bit.ly/EKOPFO_doc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z.gov.ua/uk/shlyah-vijskovosluzhbovcya-dlya-otrimannya-statusu-invalidnosti." TargetMode="External"/><Relationship Id="rId14" Type="http://schemas.openxmlformats.org/officeDocument/2006/relationships/hyperlink" Target="https://moz.gov.ua/uk/decrees/nakaz-moz-ukrayini-vid-10-12-2024-2067-deyaki-pitannya-zabezpechennya-provedennya-ocinyuvannya-povsyakdennogo-funkcionuvannya-oso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3987</Words>
  <Characters>22727</Characters>
  <Application>Microsoft Office Word</Application>
  <DocSecurity>0</DocSecurity>
  <Lines>189</Lines>
  <Paragraphs>53</Paragraphs>
  <ScaleCrop>false</ScaleCrop>
  <Company/>
  <LinksUpToDate>false</LinksUpToDate>
  <CharactersWithSpaces>26661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2025-01-16T12:32:00Z</dcterms:created>
  <dcterms:modified xsi:type="dcterms:W3CDTF">2025-01-25T15:11:00Z</dcterms:modified>
</cp:coreProperties>
</file>